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5017F" w14:textId="77777777" w:rsidR="00DD6B5E" w:rsidRPr="00D44A60" w:rsidRDefault="003129E8" w:rsidP="00DD6B5E">
      <w:pPr>
        <w:jc w:val="right"/>
        <w:rPr>
          <w:rFonts w:cs="Arial"/>
          <w:b/>
          <w:sz w:val="48"/>
          <w:szCs w:val="48"/>
        </w:rPr>
      </w:pPr>
      <w:bookmarkStart w:id="0" w:name="_Toc153189646"/>
      <w:bookmarkStart w:id="1" w:name="_GoBack"/>
      <w:bookmarkEnd w:id="1"/>
      <w:r w:rsidRPr="00D44A60">
        <w:rPr>
          <w:rFonts w:cs="Arial"/>
          <w:b/>
          <w:sz w:val="48"/>
          <w:szCs w:val="48"/>
        </w:rPr>
        <w:t xml:space="preserve">Work Paper </w:t>
      </w:r>
      <w:bookmarkEnd w:id="0"/>
      <w:r w:rsidR="0038083E" w:rsidRPr="00D44A60">
        <w:rPr>
          <w:rFonts w:cs="Arial"/>
          <w:b/>
          <w:sz w:val="48"/>
          <w:szCs w:val="48"/>
        </w:rPr>
        <w:t>PGECOAPP123</w:t>
      </w:r>
    </w:p>
    <w:p w14:paraId="37B7456C" w14:textId="77777777" w:rsidR="00A167EC" w:rsidRPr="00D44A60" w:rsidRDefault="0038083E" w:rsidP="00A167EC">
      <w:pPr>
        <w:jc w:val="right"/>
        <w:rPr>
          <w:rFonts w:cs="Arial"/>
          <w:b/>
          <w:sz w:val="48"/>
          <w:szCs w:val="48"/>
        </w:rPr>
      </w:pPr>
      <w:r w:rsidRPr="00D44A60">
        <w:rPr>
          <w:rFonts w:cs="Arial"/>
          <w:b/>
          <w:sz w:val="48"/>
          <w:szCs w:val="48"/>
        </w:rPr>
        <w:t>Ozone Laundry Nonresidential</w:t>
      </w:r>
    </w:p>
    <w:p w14:paraId="0CEF0360" w14:textId="77777777" w:rsidR="003129E8" w:rsidRPr="002E0043" w:rsidRDefault="003129E8" w:rsidP="002E0043">
      <w:pPr>
        <w:jc w:val="right"/>
        <w:rPr>
          <w:rFonts w:cs="Arial"/>
          <w:b/>
          <w:sz w:val="48"/>
          <w:szCs w:val="48"/>
        </w:rPr>
      </w:pPr>
      <w:bookmarkStart w:id="2" w:name="_Toc153189647"/>
      <w:r w:rsidRPr="00D44A60">
        <w:rPr>
          <w:rFonts w:cs="Arial"/>
          <w:b/>
          <w:sz w:val="48"/>
          <w:szCs w:val="48"/>
        </w:rPr>
        <w:t>Revision #</w:t>
      </w:r>
      <w:bookmarkEnd w:id="2"/>
      <w:r w:rsidR="00D7047A" w:rsidRPr="00D44A60">
        <w:rPr>
          <w:rFonts w:cs="Arial"/>
          <w:b/>
          <w:sz w:val="48"/>
          <w:szCs w:val="48"/>
        </w:rPr>
        <w:t xml:space="preserve"> </w:t>
      </w:r>
      <w:r w:rsidR="00574D78">
        <w:rPr>
          <w:rFonts w:cs="Arial"/>
          <w:b/>
          <w:sz w:val="48"/>
          <w:szCs w:val="48"/>
        </w:rPr>
        <w:t>6</w:t>
      </w:r>
    </w:p>
    <w:p w14:paraId="486123C2" w14:textId="77777777" w:rsidR="003129E8" w:rsidRDefault="003129E8" w:rsidP="003129E8"/>
    <w:p w14:paraId="51A5B7EC"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5D8DA888" w14:textId="77777777" w:rsidR="00D7047A" w:rsidRPr="002E0043" w:rsidRDefault="00661864" w:rsidP="00D7047A">
      <w:pPr>
        <w:rPr>
          <w:rFonts w:cs="Arial"/>
          <w:b/>
          <w:sz w:val="32"/>
          <w:szCs w:val="32"/>
        </w:rPr>
      </w:pPr>
      <w:r>
        <w:rPr>
          <w:rFonts w:cs="Arial"/>
          <w:b/>
          <w:sz w:val="32"/>
          <w:szCs w:val="32"/>
        </w:rPr>
        <w:t xml:space="preserve">Customer Energy Solutions </w:t>
      </w:r>
    </w:p>
    <w:p w14:paraId="1E875468" w14:textId="77777777" w:rsidR="00E34E73" w:rsidRDefault="00E34E73" w:rsidP="00324D0F">
      <w:pPr>
        <w:rPr>
          <w:rFonts w:cs="Arial"/>
          <w:b/>
          <w:highlight w:val="cyan"/>
        </w:rPr>
      </w:pPr>
    </w:p>
    <w:p w14:paraId="48BDDBF1" w14:textId="77777777" w:rsidR="00C274E0" w:rsidRDefault="00C274E0" w:rsidP="00324D0F">
      <w:pPr>
        <w:rPr>
          <w:rFonts w:cs="Arial"/>
          <w:b/>
          <w:highlight w:val="cyan"/>
        </w:rPr>
      </w:pPr>
    </w:p>
    <w:p w14:paraId="36AB954D" w14:textId="77777777" w:rsidR="00C274E0" w:rsidRDefault="00C274E0" w:rsidP="00324D0F">
      <w:pPr>
        <w:rPr>
          <w:rFonts w:cs="Arial"/>
          <w:b/>
          <w:highlight w:val="cyan"/>
        </w:rPr>
      </w:pPr>
    </w:p>
    <w:p w14:paraId="6F8B8243" w14:textId="77777777" w:rsidR="00324D0F" w:rsidRPr="00D44A60" w:rsidRDefault="0038083E" w:rsidP="00A167EC">
      <w:pPr>
        <w:ind w:right="-720"/>
        <w:rPr>
          <w:rFonts w:cs="Arial"/>
          <w:b/>
          <w:sz w:val="72"/>
          <w:szCs w:val="72"/>
        </w:rPr>
      </w:pPr>
      <w:r w:rsidRPr="00D44A60">
        <w:rPr>
          <w:rFonts w:cs="Arial"/>
          <w:b/>
          <w:sz w:val="72"/>
          <w:szCs w:val="72"/>
        </w:rPr>
        <w:t>Ozone Laundry Nonresidential</w:t>
      </w:r>
    </w:p>
    <w:p w14:paraId="561135A1" w14:textId="77777777" w:rsidR="00B421F2" w:rsidRPr="00CB3583" w:rsidRDefault="00A167EC" w:rsidP="002D4621">
      <w:pPr>
        <w:ind w:right="-720"/>
        <w:rPr>
          <w:rFonts w:cs="Arial"/>
          <w:b/>
          <w:color w:val="FF0000"/>
        </w:rPr>
      </w:pPr>
      <w:r w:rsidRPr="00D44A60">
        <w:rPr>
          <w:rFonts w:cs="Arial"/>
          <w:b/>
        </w:rPr>
        <w:t xml:space="preserve">Measure Codes </w:t>
      </w:r>
      <w:r w:rsidR="0038083E" w:rsidRPr="00D44A60">
        <w:rPr>
          <w:rFonts w:cs="Arial"/>
          <w:b/>
        </w:rPr>
        <w:t>B85</w:t>
      </w:r>
    </w:p>
    <w:p w14:paraId="6D4353E7" w14:textId="77777777" w:rsidR="00CB3583" w:rsidRPr="00C274E0" w:rsidRDefault="00CB3583" w:rsidP="002E0043">
      <w:pPr>
        <w:rPr>
          <w:rFonts w:cs="Arial"/>
          <w:b/>
          <w:i/>
          <w:highlight w:val="cyan"/>
        </w:rPr>
      </w:pPr>
    </w:p>
    <w:p w14:paraId="4AF6ACC5" w14:textId="77777777" w:rsidR="003D3F36" w:rsidRPr="00C274E0" w:rsidRDefault="003D3F36" w:rsidP="00844B27">
      <w:pPr>
        <w:rPr>
          <w:rFonts w:cs="Arial"/>
          <w:b/>
          <w:i/>
          <w:highlight w:val="cyan"/>
        </w:rPr>
      </w:pPr>
    </w:p>
    <w:p w14:paraId="744ED21D" w14:textId="77777777" w:rsidR="00E84DBD" w:rsidRDefault="00E84DBD" w:rsidP="00844B27">
      <w:pPr>
        <w:rPr>
          <w:rFonts w:cs="Arial"/>
          <w:b/>
          <w:i/>
        </w:rPr>
      </w:pPr>
    </w:p>
    <w:p w14:paraId="0EDF867E" w14:textId="77777777" w:rsidR="00C274E0" w:rsidRDefault="00C274E0" w:rsidP="00844B27">
      <w:pPr>
        <w:rPr>
          <w:rFonts w:cs="Arial"/>
          <w:b/>
          <w:i/>
        </w:rPr>
      </w:pPr>
    </w:p>
    <w:p w14:paraId="30374F3D" w14:textId="77777777" w:rsidR="00C274E0" w:rsidRDefault="00C274E0" w:rsidP="00844B27">
      <w:pPr>
        <w:rPr>
          <w:rFonts w:cs="Arial"/>
          <w:b/>
          <w:i/>
        </w:rPr>
      </w:pPr>
    </w:p>
    <w:p w14:paraId="54E7AB3B" w14:textId="77777777" w:rsidR="00C274E0" w:rsidRDefault="00C274E0" w:rsidP="00844B27">
      <w:pPr>
        <w:rPr>
          <w:rFonts w:cs="Arial"/>
          <w:b/>
          <w:i/>
        </w:rPr>
      </w:pPr>
    </w:p>
    <w:p w14:paraId="56A0C8A1" w14:textId="77777777" w:rsidR="00C274E0" w:rsidRDefault="00C274E0" w:rsidP="00844B27">
      <w:pPr>
        <w:rPr>
          <w:rFonts w:cs="Arial"/>
          <w:b/>
          <w:i/>
        </w:rPr>
      </w:pPr>
    </w:p>
    <w:p w14:paraId="713DAC4A" w14:textId="77777777" w:rsidR="00C274E0" w:rsidRDefault="00C274E0" w:rsidP="00844B27">
      <w:pPr>
        <w:rPr>
          <w:rFonts w:cs="Arial"/>
          <w:b/>
          <w:i/>
        </w:rPr>
      </w:pPr>
    </w:p>
    <w:p w14:paraId="660790FC" w14:textId="77777777" w:rsidR="00C274E0" w:rsidRDefault="00C274E0" w:rsidP="00844B27">
      <w:pPr>
        <w:rPr>
          <w:rFonts w:cs="Arial"/>
          <w:b/>
          <w:i/>
        </w:rPr>
      </w:pPr>
    </w:p>
    <w:p w14:paraId="4B52085C" w14:textId="77777777" w:rsidR="00C274E0" w:rsidRDefault="00C274E0" w:rsidP="00844B27">
      <w:pPr>
        <w:rPr>
          <w:rFonts w:cs="Arial"/>
          <w:b/>
          <w:i/>
        </w:rPr>
      </w:pPr>
    </w:p>
    <w:p w14:paraId="25179215" w14:textId="77777777" w:rsidR="00C274E0" w:rsidRDefault="00C274E0" w:rsidP="00844B27">
      <w:pPr>
        <w:rPr>
          <w:rFonts w:cs="Arial"/>
          <w:b/>
          <w:i/>
        </w:rPr>
      </w:pPr>
    </w:p>
    <w:p w14:paraId="144BEF3F" w14:textId="77777777" w:rsidR="00C274E0" w:rsidRDefault="00C274E0" w:rsidP="00844B27">
      <w:pPr>
        <w:rPr>
          <w:rFonts w:cs="Arial"/>
          <w:b/>
          <w:i/>
        </w:rPr>
      </w:pPr>
    </w:p>
    <w:p w14:paraId="4025FF88" w14:textId="77777777" w:rsidR="00C274E0" w:rsidRDefault="00C274E0" w:rsidP="00844B27">
      <w:pPr>
        <w:rPr>
          <w:rFonts w:cs="Arial"/>
          <w:b/>
          <w:i/>
        </w:rPr>
      </w:pPr>
    </w:p>
    <w:p w14:paraId="0CC8CE5D" w14:textId="77777777" w:rsidR="00C274E0" w:rsidRDefault="00C274E0" w:rsidP="00844B27">
      <w:pPr>
        <w:rPr>
          <w:rFonts w:cs="Arial"/>
          <w:b/>
          <w:i/>
        </w:rPr>
      </w:pPr>
    </w:p>
    <w:p w14:paraId="7EC69C79"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p>
    <w:p w14:paraId="246DBE0D" w14:textId="77777777" w:rsidR="00E71EF1" w:rsidRDefault="00E731C6" w:rsidP="00E71EF1">
      <w:pPr>
        <w:pStyle w:val="Heading1"/>
      </w:pPr>
      <w:bookmarkStart w:id="3" w:name="_Toc304800192"/>
      <w:bookmarkStart w:id="4" w:name="_Toc324318330"/>
      <w:bookmarkStart w:id="5" w:name="_Toc324340474"/>
      <w:bookmarkStart w:id="6" w:name="_Toc491175821"/>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16F0C" w:rsidRPr="00A55DD1" w14:paraId="6815EECE" w14:textId="77777777" w:rsidTr="00116F0C">
        <w:trPr>
          <w:trHeight w:val="465"/>
        </w:trPr>
        <w:tc>
          <w:tcPr>
            <w:tcW w:w="4161" w:type="dxa"/>
            <w:shd w:val="pct20" w:color="000000" w:fill="FFFFFF"/>
          </w:tcPr>
          <w:p w14:paraId="2120C860" w14:textId="77777777" w:rsidR="00116F0C" w:rsidRPr="00610FC6" w:rsidRDefault="00116F0C" w:rsidP="0028709C">
            <w:pPr>
              <w:rPr>
                <w:rStyle w:val="Strong"/>
              </w:rPr>
            </w:pPr>
            <w:r w:rsidRPr="00610FC6">
              <w:rPr>
                <w:rStyle w:val="Strong"/>
              </w:rPr>
              <w:t>Applicable Measure Codes:</w:t>
            </w:r>
          </w:p>
        </w:tc>
        <w:tc>
          <w:tcPr>
            <w:tcW w:w="5487" w:type="dxa"/>
            <w:shd w:val="pct20" w:color="000000" w:fill="FFFFFF"/>
          </w:tcPr>
          <w:p w14:paraId="01B3C194" w14:textId="77777777" w:rsidR="00116F0C" w:rsidRPr="000E22C9" w:rsidRDefault="00116F0C" w:rsidP="0028709C">
            <w:pPr>
              <w:rPr>
                <w:rFonts w:cs="Arial"/>
                <w:b/>
                <w:bCs/>
                <w:sz w:val="20"/>
                <w:szCs w:val="20"/>
              </w:rPr>
            </w:pPr>
            <w:r>
              <w:rPr>
                <w:rFonts w:cs="Arial"/>
                <w:b/>
                <w:bCs/>
                <w:sz w:val="20"/>
                <w:szCs w:val="20"/>
              </w:rPr>
              <w:t>B85</w:t>
            </w:r>
          </w:p>
        </w:tc>
      </w:tr>
      <w:tr w:rsidR="000571F6" w:rsidRPr="00A55DD1" w14:paraId="5E5F9156" w14:textId="77777777" w:rsidTr="00783DAC">
        <w:trPr>
          <w:trHeight w:val="465"/>
        </w:trPr>
        <w:tc>
          <w:tcPr>
            <w:tcW w:w="4161" w:type="dxa"/>
            <w:shd w:val="pct5" w:color="000000" w:fill="FFFFFF"/>
          </w:tcPr>
          <w:p w14:paraId="2C773CD7"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7565D314" w14:textId="77777777" w:rsidR="000571F6" w:rsidRPr="000E22C9" w:rsidRDefault="00116F0C" w:rsidP="00DC5A8B">
            <w:pPr>
              <w:rPr>
                <w:rFonts w:cs="Arial"/>
                <w:sz w:val="20"/>
                <w:szCs w:val="20"/>
              </w:rPr>
            </w:pPr>
            <w:r>
              <w:rPr>
                <w:rFonts w:cs="Arial"/>
                <w:sz w:val="20"/>
                <w:szCs w:val="20"/>
              </w:rPr>
              <w:t xml:space="preserve">Installation of an ozone generator on an existing or new </w:t>
            </w:r>
            <w:r w:rsidR="00DC5A8B">
              <w:rPr>
                <w:rFonts w:cs="Arial"/>
                <w:sz w:val="20"/>
                <w:szCs w:val="20"/>
              </w:rPr>
              <w:t>commercial</w:t>
            </w:r>
            <w:r>
              <w:rPr>
                <w:rFonts w:cs="Arial"/>
                <w:sz w:val="20"/>
                <w:szCs w:val="20"/>
              </w:rPr>
              <w:t xml:space="preserve"> laundry facility</w:t>
            </w:r>
          </w:p>
        </w:tc>
      </w:tr>
      <w:tr w:rsidR="000571F6" w:rsidRPr="00A55DD1" w14:paraId="09374CA8" w14:textId="77777777" w:rsidTr="00783DAC">
        <w:trPr>
          <w:trHeight w:val="465"/>
        </w:trPr>
        <w:tc>
          <w:tcPr>
            <w:tcW w:w="4161" w:type="dxa"/>
            <w:shd w:val="pct20" w:color="000000" w:fill="FFFFFF"/>
          </w:tcPr>
          <w:p w14:paraId="13577FD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1ECF13CC" w14:textId="77777777" w:rsidR="000571F6" w:rsidRPr="000E22C9" w:rsidRDefault="00116F0C" w:rsidP="000A2ABA">
            <w:pPr>
              <w:rPr>
                <w:rFonts w:cs="Arial"/>
                <w:sz w:val="20"/>
                <w:szCs w:val="20"/>
              </w:rPr>
            </w:pPr>
            <w:r>
              <w:rPr>
                <w:rFonts w:cs="Arial"/>
                <w:sz w:val="20"/>
                <w:szCs w:val="20"/>
              </w:rPr>
              <w:t>Total on-site washer capacity [pounds]</w:t>
            </w:r>
          </w:p>
        </w:tc>
      </w:tr>
      <w:tr w:rsidR="000571F6" w:rsidRPr="00A55DD1" w14:paraId="5BF82116" w14:textId="77777777" w:rsidTr="00783DAC">
        <w:trPr>
          <w:trHeight w:val="465"/>
        </w:trPr>
        <w:tc>
          <w:tcPr>
            <w:tcW w:w="4161" w:type="dxa"/>
            <w:shd w:val="pct5" w:color="000000" w:fill="FFFFFF"/>
          </w:tcPr>
          <w:p w14:paraId="298490D0"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5DB455D9" w14:textId="77777777" w:rsidR="005F57B5" w:rsidRDefault="00116F0C" w:rsidP="000A2ABA">
            <w:pPr>
              <w:rPr>
                <w:rFonts w:cs="Arial"/>
                <w:sz w:val="20"/>
                <w:szCs w:val="20"/>
              </w:rPr>
            </w:pPr>
            <w:r>
              <w:rPr>
                <w:rFonts w:cs="Arial"/>
                <w:sz w:val="20"/>
                <w:szCs w:val="20"/>
              </w:rPr>
              <w:t>The base case is a conventional washing machine without an ozone generator with a hot water boiler meeting minimum regul</w:t>
            </w:r>
            <w:r w:rsidR="008D7DB9">
              <w:rPr>
                <w:rFonts w:cs="Arial"/>
                <w:sz w:val="20"/>
                <w:szCs w:val="20"/>
              </w:rPr>
              <w:t>ated thermal efficiency standar</w:t>
            </w:r>
            <w:r>
              <w:rPr>
                <w:rFonts w:cs="Arial"/>
                <w:sz w:val="20"/>
                <w:szCs w:val="20"/>
              </w:rPr>
              <w:t>ds.</w:t>
            </w:r>
          </w:p>
          <w:p w14:paraId="6A4E6150" w14:textId="77777777" w:rsidR="00116F0C" w:rsidRPr="000E22C9" w:rsidRDefault="00116F0C" w:rsidP="000A2ABA">
            <w:pPr>
              <w:rPr>
                <w:rFonts w:cs="Arial"/>
                <w:sz w:val="20"/>
                <w:szCs w:val="20"/>
              </w:rPr>
            </w:pPr>
            <w:r>
              <w:rPr>
                <w:rFonts w:cs="Arial"/>
                <w:sz w:val="20"/>
                <w:szCs w:val="20"/>
              </w:rPr>
              <w:t>i.e. 80% thermal efficiency as required by Title 20.</w:t>
            </w:r>
          </w:p>
        </w:tc>
      </w:tr>
      <w:tr w:rsidR="000571F6" w:rsidRPr="00A55DD1" w14:paraId="2CD2903B" w14:textId="77777777" w:rsidTr="00783DAC">
        <w:trPr>
          <w:trHeight w:val="465"/>
        </w:trPr>
        <w:tc>
          <w:tcPr>
            <w:tcW w:w="4161" w:type="dxa"/>
            <w:shd w:val="pct20" w:color="000000" w:fill="FFFFFF"/>
          </w:tcPr>
          <w:p w14:paraId="591A3FD4"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5F0F8500" w14:textId="77777777" w:rsidR="000571F6" w:rsidRDefault="00DF7681" w:rsidP="00116F0C">
            <w:pPr>
              <w:rPr>
                <w:rFonts w:cs="Arial"/>
                <w:sz w:val="20"/>
                <w:szCs w:val="20"/>
              </w:rPr>
            </w:pPr>
            <w:r w:rsidRPr="000E22C9">
              <w:rPr>
                <w:rFonts w:cs="Arial"/>
                <w:sz w:val="20"/>
                <w:szCs w:val="20"/>
              </w:rPr>
              <w:t>Source:</w:t>
            </w:r>
            <w:r w:rsidR="00116F0C">
              <w:rPr>
                <w:rFonts w:cs="Arial"/>
                <w:sz w:val="20"/>
                <w:szCs w:val="20"/>
              </w:rPr>
              <w:t xml:space="preserve"> Engineering calculations</w:t>
            </w:r>
          </w:p>
          <w:p w14:paraId="716E3ACC" w14:textId="77777777" w:rsidR="00116F0C" w:rsidRPr="000E22C9" w:rsidRDefault="00116F0C" w:rsidP="00116F0C">
            <w:pPr>
              <w:rPr>
                <w:rFonts w:cs="Arial"/>
                <w:sz w:val="20"/>
                <w:szCs w:val="20"/>
              </w:rPr>
            </w:pPr>
          </w:p>
        </w:tc>
      </w:tr>
      <w:tr w:rsidR="002C4F1C" w:rsidRPr="00A55DD1" w14:paraId="46FB9F83" w14:textId="77777777" w:rsidTr="00783DAC">
        <w:trPr>
          <w:trHeight w:val="465"/>
        </w:trPr>
        <w:tc>
          <w:tcPr>
            <w:tcW w:w="4161" w:type="dxa"/>
            <w:shd w:val="pct5" w:color="000000" w:fill="FFFFFF"/>
          </w:tcPr>
          <w:p w14:paraId="24F40578" w14:textId="77777777" w:rsidR="002C4F1C" w:rsidRPr="00610FC6" w:rsidRDefault="002C4F1C" w:rsidP="0028709C">
            <w:pPr>
              <w:rPr>
                <w:rStyle w:val="Strong"/>
              </w:rPr>
            </w:pPr>
            <w:r w:rsidRPr="00610FC6">
              <w:rPr>
                <w:rStyle w:val="Strong"/>
              </w:rPr>
              <w:t>Measure Energy Consumption:</w:t>
            </w:r>
          </w:p>
          <w:p w14:paraId="4082A4DC" w14:textId="77777777" w:rsidR="00806EE8" w:rsidRPr="000E22C9" w:rsidRDefault="00806EE8" w:rsidP="0028709C">
            <w:pPr>
              <w:rPr>
                <w:rFonts w:cs="Arial"/>
                <w:b/>
                <w:sz w:val="20"/>
                <w:szCs w:val="20"/>
              </w:rPr>
            </w:pPr>
          </w:p>
        </w:tc>
        <w:tc>
          <w:tcPr>
            <w:tcW w:w="5487" w:type="dxa"/>
            <w:shd w:val="pct5" w:color="000000" w:fill="FFFFFF"/>
          </w:tcPr>
          <w:p w14:paraId="6EFB64B6" w14:textId="77777777" w:rsidR="002C4F1C" w:rsidRDefault="008344F8" w:rsidP="00EB4429">
            <w:pPr>
              <w:rPr>
                <w:rFonts w:cs="Arial"/>
                <w:sz w:val="20"/>
                <w:szCs w:val="20"/>
              </w:rPr>
            </w:pPr>
            <w:r>
              <w:rPr>
                <w:rFonts w:cs="Arial"/>
                <w:sz w:val="20"/>
                <w:szCs w:val="20"/>
              </w:rPr>
              <w:t>Source: E</w:t>
            </w:r>
            <w:r w:rsidR="00116F0C">
              <w:rPr>
                <w:rFonts w:cs="Arial"/>
                <w:sz w:val="20"/>
                <w:szCs w:val="20"/>
              </w:rPr>
              <w:t>ngineering calculations</w:t>
            </w:r>
          </w:p>
          <w:p w14:paraId="3D537D53" w14:textId="77777777" w:rsidR="00116F0C" w:rsidRPr="000E22C9" w:rsidRDefault="00116F0C" w:rsidP="00EB4429">
            <w:pPr>
              <w:rPr>
                <w:rFonts w:cs="Arial"/>
                <w:sz w:val="20"/>
                <w:szCs w:val="20"/>
              </w:rPr>
            </w:pPr>
          </w:p>
        </w:tc>
      </w:tr>
      <w:tr w:rsidR="002C4F1C" w:rsidRPr="00A55DD1" w14:paraId="0A9B3E8F" w14:textId="77777777" w:rsidTr="00783DAC">
        <w:trPr>
          <w:trHeight w:val="465"/>
        </w:trPr>
        <w:tc>
          <w:tcPr>
            <w:tcW w:w="4161" w:type="dxa"/>
            <w:shd w:val="pct20" w:color="000000" w:fill="FFFFFF"/>
          </w:tcPr>
          <w:p w14:paraId="3E232D92" w14:textId="77777777" w:rsidR="00610FC6" w:rsidRPr="00610FC6" w:rsidRDefault="002C4F1C" w:rsidP="00A55DD1">
            <w:pPr>
              <w:rPr>
                <w:rStyle w:val="Strong"/>
              </w:rPr>
            </w:pPr>
            <w:r w:rsidRPr="00610FC6">
              <w:rPr>
                <w:rStyle w:val="Strong"/>
              </w:rPr>
              <w:t xml:space="preserve">Energy Savings </w:t>
            </w:r>
          </w:p>
          <w:p w14:paraId="669810BB"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687AB33C" w14:textId="463AEB26" w:rsidR="00CF756C" w:rsidRDefault="00CF756C" w:rsidP="00116F0C">
            <w:pPr>
              <w:rPr>
                <w:sz w:val="20"/>
                <w:szCs w:val="20"/>
              </w:rPr>
            </w:pPr>
            <w:r>
              <w:rPr>
                <w:sz w:val="20"/>
                <w:szCs w:val="20"/>
              </w:rPr>
              <w:t xml:space="preserve">39.3 </w:t>
            </w:r>
            <w:proofErr w:type="spellStart"/>
            <w:r>
              <w:rPr>
                <w:sz w:val="20"/>
                <w:szCs w:val="20"/>
              </w:rPr>
              <w:t>therms</w:t>
            </w:r>
            <w:proofErr w:type="spellEnd"/>
            <w:r>
              <w:rPr>
                <w:sz w:val="20"/>
                <w:szCs w:val="20"/>
              </w:rPr>
              <w:t xml:space="preserve"> per </w:t>
            </w:r>
            <w:proofErr w:type="spellStart"/>
            <w:r>
              <w:rPr>
                <w:sz w:val="20"/>
                <w:szCs w:val="20"/>
              </w:rPr>
              <w:t>lb</w:t>
            </w:r>
            <w:proofErr w:type="spellEnd"/>
            <w:r>
              <w:rPr>
                <w:sz w:val="20"/>
                <w:szCs w:val="20"/>
              </w:rPr>
              <w:t xml:space="preserve"> of laundry capacity</w:t>
            </w:r>
          </w:p>
          <w:p w14:paraId="72C6B5D7" w14:textId="77777777" w:rsidR="00116F0C" w:rsidRPr="00C26203" w:rsidRDefault="00116F0C" w:rsidP="00116F0C">
            <w:pPr>
              <w:rPr>
                <w:sz w:val="20"/>
                <w:szCs w:val="20"/>
              </w:rPr>
            </w:pPr>
            <w:r w:rsidRPr="00C26203">
              <w:rPr>
                <w:sz w:val="20"/>
                <w:szCs w:val="20"/>
              </w:rPr>
              <w:t>Source: Engineering calculations</w:t>
            </w:r>
          </w:p>
          <w:p w14:paraId="4C3AE620" w14:textId="77777777" w:rsidR="002C4F1C" w:rsidRPr="000E22C9" w:rsidRDefault="002C4F1C" w:rsidP="00E4749D">
            <w:pPr>
              <w:rPr>
                <w:rFonts w:cs="Arial"/>
                <w:sz w:val="20"/>
                <w:szCs w:val="20"/>
              </w:rPr>
            </w:pPr>
          </w:p>
        </w:tc>
      </w:tr>
      <w:tr w:rsidR="00116F0C" w:rsidRPr="00A55DD1" w14:paraId="329D92F0" w14:textId="77777777" w:rsidTr="00783DAC">
        <w:trPr>
          <w:trHeight w:val="465"/>
        </w:trPr>
        <w:tc>
          <w:tcPr>
            <w:tcW w:w="4161" w:type="dxa"/>
            <w:shd w:val="pct5" w:color="000000" w:fill="FFFFFF"/>
          </w:tcPr>
          <w:p w14:paraId="00BB9AC4" w14:textId="77777777" w:rsidR="00116F0C" w:rsidRPr="00610FC6" w:rsidRDefault="00116F0C" w:rsidP="0028709C">
            <w:pPr>
              <w:rPr>
                <w:rStyle w:val="Strong"/>
              </w:rPr>
            </w:pPr>
            <w:r w:rsidRPr="00610FC6">
              <w:rPr>
                <w:rStyle w:val="Strong"/>
              </w:rPr>
              <w:t xml:space="preserve">Costs Common Units: </w:t>
            </w:r>
          </w:p>
        </w:tc>
        <w:tc>
          <w:tcPr>
            <w:tcW w:w="5487" w:type="dxa"/>
            <w:shd w:val="pct5" w:color="000000" w:fill="FFFFFF"/>
          </w:tcPr>
          <w:p w14:paraId="382D0820" w14:textId="77777777" w:rsidR="00116F0C" w:rsidRPr="000E22C9" w:rsidRDefault="00116F0C" w:rsidP="0028709C">
            <w:pPr>
              <w:rPr>
                <w:rFonts w:cs="Arial"/>
                <w:sz w:val="20"/>
                <w:szCs w:val="20"/>
              </w:rPr>
            </w:pPr>
            <w:r w:rsidRPr="00C26203">
              <w:rPr>
                <w:sz w:val="20"/>
                <w:szCs w:val="20"/>
              </w:rPr>
              <w:t>Total on-site washer capacity [pounds]</w:t>
            </w:r>
          </w:p>
        </w:tc>
      </w:tr>
      <w:tr w:rsidR="007B44FB" w:rsidRPr="00A55DD1" w14:paraId="45B906CF" w14:textId="77777777" w:rsidTr="00783DAC">
        <w:trPr>
          <w:trHeight w:val="465"/>
        </w:trPr>
        <w:tc>
          <w:tcPr>
            <w:tcW w:w="4161" w:type="dxa"/>
            <w:shd w:val="pct20" w:color="000000" w:fill="FFFFFF"/>
          </w:tcPr>
          <w:p w14:paraId="621AC1EC" w14:textId="77777777" w:rsidR="007B44FB" w:rsidRPr="00610FC6" w:rsidRDefault="007B44FB" w:rsidP="0028709C">
            <w:pPr>
              <w:rPr>
                <w:rStyle w:val="Strong"/>
                <w:highlight w:val="cyan"/>
              </w:rPr>
            </w:pPr>
            <w:r w:rsidRPr="00610FC6">
              <w:rPr>
                <w:rStyle w:val="Strong"/>
              </w:rPr>
              <w:t>Base Case Equipment Cost ($/unit):</w:t>
            </w:r>
          </w:p>
          <w:p w14:paraId="378E788A" w14:textId="77777777" w:rsidR="00806EE8" w:rsidRPr="000E22C9" w:rsidRDefault="00806EE8" w:rsidP="000E22C9">
            <w:pPr>
              <w:rPr>
                <w:highlight w:val="cyan"/>
              </w:rPr>
            </w:pPr>
          </w:p>
        </w:tc>
        <w:tc>
          <w:tcPr>
            <w:tcW w:w="5487" w:type="dxa"/>
            <w:shd w:val="pct20" w:color="000000" w:fill="FFFFFF"/>
          </w:tcPr>
          <w:p w14:paraId="6FB31EFF" w14:textId="77777777" w:rsidR="007B44FB" w:rsidRPr="000E22C9" w:rsidRDefault="00116F0C" w:rsidP="00EB4429">
            <w:pPr>
              <w:rPr>
                <w:rFonts w:cs="Arial"/>
                <w:sz w:val="20"/>
                <w:szCs w:val="20"/>
              </w:rPr>
            </w:pPr>
            <w:r>
              <w:rPr>
                <w:rFonts w:cs="Arial"/>
                <w:sz w:val="20"/>
                <w:szCs w:val="20"/>
              </w:rPr>
              <w:t>$0</w:t>
            </w:r>
          </w:p>
        </w:tc>
      </w:tr>
      <w:tr w:rsidR="000571F6" w:rsidRPr="00A55DD1" w14:paraId="1C0454F2" w14:textId="77777777" w:rsidTr="00783DAC">
        <w:trPr>
          <w:trHeight w:val="465"/>
        </w:trPr>
        <w:tc>
          <w:tcPr>
            <w:tcW w:w="4161" w:type="dxa"/>
            <w:shd w:val="pct5" w:color="000000" w:fill="FFFFFF"/>
          </w:tcPr>
          <w:p w14:paraId="66471BDF"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510530B3" w14:textId="77777777" w:rsidR="00116F0C" w:rsidRPr="00C26203" w:rsidRDefault="00116F0C" w:rsidP="00116F0C">
            <w:pPr>
              <w:rPr>
                <w:sz w:val="20"/>
                <w:szCs w:val="20"/>
              </w:rPr>
            </w:pPr>
            <w:r w:rsidRPr="00C26203">
              <w:rPr>
                <w:sz w:val="20"/>
                <w:szCs w:val="20"/>
              </w:rPr>
              <w:t>Source: Engineering calculations</w:t>
            </w:r>
          </w:p>
          <w:p w14:paraId="4F2A1213" w14:textId="01D9C62C" w:rsidR="000571F6" w:rsidRPr="00A55DD1" w:rsidRDefault="00116F0C" w:rsidP="00346DC6">
            <w:pPr>
              <w:rPr>
                <w:rFonts w:cs="Arial"/>
                <w:sz w:val="20"/>
                <w:szCs w:val="20"/>
              </w:rPr>
            </w:pPr>
            <w:r w:rsidRPr="00C26203">
              <w:rPr>
                <w:sz w:val="20"/>
                <w:szCs w:val="20"/>
              </w:rPr>
              <w:t>$</w:t>
            </w:r>
            <w:r w:rsidR="00346DC6">
              <w:rPr>
                <w:sz w:val="20"/>
                <w:szCs w:val="20"/>
              </w:rPr>
              <w:t>138.41</w:t>
            </w:r>
          </w:p>
        </w:tc>
      </w:tr>
      <w:tr w:rsidR="001E7CA0" w:rsidRPr="00A55DD1" w14:paraId="57EA1400" w14:textId="77777777" w:rsidTr="00783DAC">
        <w:trPr>
          <w:trHeight w:val="465"/>
        </w:trPr>
        <w:tc>
          <w:tcPr>
            <w:tcW w:w="4161" w:type="dxa"/>
            <w:shd w:val="pct20" w:color="000000" w:fill="FFFFFF"/>
          </w:tcPr>
          <w:p w14:paraId="6D3B8CEC" w14:textId="77777777" w:rsidR="001E7CA0" w:rsidRPr="00610FC6" w:rsidRDefault="001E7CA0" w:rsidP="0028709C">
            <w:pPr>
              <w:rPr>
                <w:rStyle w:val="Strong"/>
              </w:rPr>
            </w:pPr>
            <w:r w:rsidRPr="00610FC6">
              <w:rPr>
                <w:rStyle w:val="Strong"/>
              </w:rPr>
              <w:t>Gross Measure Cost ($/unit)</w:t>
            </w:r>
          </w:p>
        </w:tc>
        <w:tc>
          <w:tcPr>
            <w:tcW w:w="5487" w:type="dxa"/>
            <w:shd w:val="pct20" w:color="000000" w:fill="FFFFFF"/>
          </w:tcPr>
          <w:p w14:paraId="209A1EBD" w14:textId="77777777" w:rsidR="00116F0C" w:rsidRPr="00C26203" w:rsidRDefault="00116F0C" w:rsidP="00116F0C">
            <w:pPr>
              <w:rPr>
                <w:sz w:val="20"/>
                <w:szCs w:val="20"/>
              </w:rPr>
            </w:pPr>
            <w:r w:rsidRPr="00C26203">
              <w:rPr>
                <w:sz w:val="20"/>
                <w:szCs w:val="20"/>
              </w:rPr>
              <w:t>Source: Engineering calculations</w:t>
            </w:r>
          </w:p>
          <w:p w14:paraId="539A0CCE" w14:textId="7384D8EA" w:rsidR="001E7CA0" w:rsidRPr="00A55DD1" w:rsidRDefault="00346DC6" w:rsidP="00116F0C">
            <w:pPr>
              <w:rPr>
                <w:rFonts w:cs="Arial"/>
                <w:sz w:val="20"/>
                <w:szCs w:val="20"/>
              </w:rPr>
            </w:pPr>
            <w:r w:rsidRPr="00C26203">
              <w:rPr>
                <w:sz w:val="20"/>
                <w:szCs w:val="20"/>
              </w:rPr>
              <w:t>$</w:t>
            </w:r>
            <w:r>
              <w:rPr>
                <w:sz w:val="20"/>
                <w:szCs w:val="20"/>
              </w:rPr>
              <w:t>138.41</w:t>
            </w:r>
          </w:p>
        </w:tc>
      </w:tr>
      <w:tr w:rsidR="000571F6" w:rsidRPr="00A55DD1" w14:paraId="7D39389D" w14:textId="77777777" w:rsidTr="00783DAC">
        <w:trPr>
          <w:trHeight w:val="465"/>
        </w:trPr>
        <w:tc>
          <w:tcPr>
            <w:tcW w:w="4161" w:type="dxa"/>
            <w:shd w:val="pct20" w:color="000000" w:fill="FFFFFF"/>
          </w:tcPr>
          <w:p w14:paraId="4A0E23AF"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1B7BC8B1" w14:textId="77777777" w:rsidR="00116F0C" w:rsidRPr="00C26203" w:rsidRDefault="00116F0C" w:rsidP="00116F0C">
            <w:pPr>
              <w:rPr>
                <w:sz w:val="20"/>
                <w:szCs w:val="20"/>
              </w:rPr>
            </w:pPr>
            <w:r w:rsidRPr="00C26203">
              <w:rPr>
                <w:sz w:val="20"/>
                <w:szCs w:val="20"/>
              </w:rPr>
              <w:t>Source: Engineering calculations</w:t>
            </w:r>
          </w:p>
          <w:p w14:paraId="76CEF927" w14:textId="56F6E846" w:rsidR="00D16E24" w:rsidRPr="00A55DD1" w:rsidRDefault="00346DC6" w:rsidP="00116F0C">
            <w:pPr>
              <w:rPr>
                <w:rFonts w:cs="Arial"/>
                <w:sz w:val="20"/>
                <w:szCs w:val="20"/>
              </w:rPr>
            </w:pPr>
            <w:r w:rsidRPr="00C26203">
              <w:rPr>
                <w:sz w:val="20"/>
                <w:szCs w:val="20"/>
              </w:rPr>
              <w:t>$</w:t>
            </w:r>
            <w:r>
              <w:rPr>
                <w:sz w:val="20"/>
                <w:szCs w:val="20"/>
              </w:rPr>
              <w:t>138.41</w:t>
            </w:r>
          </w:p>
        </w:tc>
      </w:tr>
      <w:tr w:rsidR="000571F6" w:rsidRPr="00A55DD1" w14:paraId="1107E1F2" w14:textId="77777777" w:rsidTr="00783DAC">
        <w:trPr>
          <w:trHeight w:val="465"/>
        </w:trPr>
        <w:tc>
          <w:tcPr>
            <w:tcW w:w="4161" w:type="dxa"/>
            <w:shd w:val="pct5" w:color="000000" w:fill="FFFFFF"/>
          </w:tcPr>
          <w:p w14:paraId="173DCB29"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8A79B91" w14:textId="77777777" w:rsidR="000571F6" w:rsidRPr="00A55DD1" w:rsidRDefault="00116F0C" w:rsidP="0028709C">
            <w:pPr>
              <w:rPr>
                <w:rFonts w:cs="Arial"/>
                <w:sz w:val="20"/>
                <w:szCs w:val="20"/>
              </w:rPr>
            </w:pPr>
            <w:r>
              <w:rPr>
                <w:rFonts w:cs="Arial"/>
                <w:sz w:val="20"/>
                <w:szCs w:val="20"/>
              </w:rPr>
              <w:t>10 Years</w:t>
            </w:r>
          </w:p>
        </w:tc>
      </w:tr>
      <w:tr w:rsidR="00530B04" w:rsidRPr="00A55DD1" w14:paraId="459D38EC" w14:textId="77777777" w:rsidTr="00783DAC">
        <w:trPr>
          <w:trHeight w:val="465"/>
        </w:trPr>
        <w:tc>
          <w:tcPr>
            <w:tcW w:w="4161" w:type="dxa"/>
            <w:shd w:val="pct20" w:color="000000" w:fill="FFFFFF"/>
          </w:tcPr>
          <w:p w14:paraId="7673B35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4FB3F3CF" w14:textId="77777777" w:rsidR="00530B04" w:rsidRPr="00A55DD1" w:rsidRDefault="009D339D" w:rsidP="00E4749D">
            <w:pPr>
              <w:rPr>
                <w:rFonts w:cs="Arial"/>
                <w:sz w:val="20"/>
                <w:szCs w:val="20"/>
              </w:rPr>
            </w:pPr>
            <w:r>
              <w:rPr>
                <w:sz w:val="20"/>
                <w:szCs w:val="20"/>
              </w:rPr>
              <w:t>R</w:t>
            </w:r>
            <w:r w:rsidR="00E4749D">
              <w:rPr>
                <w:sz w:val="20"/>
                <w:szCs w:val="20"/>
              </w:rPr>
              <w:t>etrofit add-on (REA</w:t>
            </w:r>
            <w:r>
              <w:rPr>
                <w:sz w:val="20"/>
                <w:szCs w:val="20"/>
              </w:rPr>
              <w:t>)</w:t>
            </w:r>
          </w:p>
        </w:tc>
      </w:tr>
      <w:tr w:rsidR="000571F6" w:rsidRPr="00A55DD1" w14:paraId="0AB3064C" w14:textId="77777777" w:rsidTr="00783DAC">
        <w:trPr>
          <w:trHeight w:val="465"/>
        </w:trPr>
        <w:tc>
          <w:tcPr>
            <w:tcW w:w="4161" w:type="dxa"/>
            <w:shd w:val="pct5" w:color="000000" w:fill="FFFFFF"/>
          </w:tcPr>
          <w:p w14:paraId="3B9D7EB7"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2413092D" w14:textId="77777777" w:rsidR="00A57AE0" w:rsidRPr="007A2DC8" w:rsidRDefault="00A57AE0" w:rsidP="00A57AE0">
            <w:pPr>
              <w:rPr>
                <w:rFonts w:cs="Arial"/>
                <w:sz w:val="20"/>
                <w:szCs w:val="20"/>
              </w:rPr>
            </w:pPr>
            <w:r w:rsidRPr="007A2DC8">
              <w:rPr>
                <w:rFonts w:cs="Arial"/>
                <w:sz w:val="20"/>
                <w:szCs w:val="20"/>
              </w:rPr>
              <w:t>Source: DEER 2014, READI version 1.0.4</w:t>
            </w:r>
          </w:p>
          <w:p w14:paraId="0953BCE5" w14:textId="77777777" w:rsidR="000571F6" w:rsidRPr="00A55DD1" w:rsidRDefault="00A57AE0" w:rsidP="00AC0094">
            <w:pPr>
              <w:rPr>
                <w:rFonts w:cs="Arial"/>
                <w:sz w:val="20"/>
                <w:szCs w:val="20"/>
              </w:rPr>
            </w:pPr>
            <w:r>
              <w:rPr>
                <w:sz w:val="20"/>
                <w:szCs w:val="20"/>
              </w:rPr>
              <w:t xml:space="preserve">NTG = </w:t>
            </w:r>
            <w:r w:rsidRPr="007A2DC8">
              <w:rPr>
                <w:sz w:val="20"/>
                <w:szCs w:val="20"/>
              </w:rPr>
              <w:t>0.60</w:t>
            </w:r>
            <w:bookmarkStart w:id="7" w:name="_Ref327361296"/>
            <w:r w:rsidRPr="007A2DC8">
              <w:rPr>
                <w:rStyle w:val="EndnoteReference"/>
                <w:sz w:val="20"/>
                <w:szCs w:val="20"/>
              </w:rPr>
              <w:endnoteReference w:id="1"/>
            </w:r>
            <w:bookmarkEnd w:id="7"/>
            <w:r w:rsidRPr="007A2DC8">
              <w:rPr>
                <w:sz w:val="20"/>
                <w:szCs w:val="20"/>
              </w:rPr>
              <w:t xml:space="preserve"> Com-Default&gt;2yrs</w:t>
            </w:r>
          </w:p>
        </w:tc>
      </w:tr>
      <w:tr w:rsidR="00127CC8" w:rsidRPr="00A55DD1" w14:paraId="3153BFC5" w14:textId="77777777" w:rsidTr="00783DAC">
        <w:trPr>
          <w:trHeight w:val="465"/>
        </w:trPr>
        <w:tc>
          <w:tcPr>
            <w:tcW w:w="4161" w:type="dxa"/>
            <w:shd w:val="pct20" w:color="000000" w:fill="FFFFFF"/>
          </w:tcPr>
          <w:p w14:paraId="11055A98"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1571298D" w14:textId="77777777" w:rsidR="00CD6046" w:rsidRPr="00A55DD1" w:rsidRDefault="00CD6046" w:rsidP="0028709C">
            <w:pPr>
              <w:rPr>
                <w:rFonts w:cs="Arial"/>
                <w:sz w:val="20"/>
                <w:szCs w:val="20"/>
              </w:rPr>
            </w:pPr>
          </w:p>
        </w:tc>
      </w:tr>
    </w:tbl>
    <w:p w14:paraId="74F0AF39" w14:textId="77777777" w:rsidR="005F19E0" w:rsidRDefault="005F19E0" w:rsidP="0006490F">
      <w:pPr>
        <w:rPr>
          <w:rFonts w:cs="Arial"/>
          <w:b/>
          <w:i/>
          <w:color w:val="FF0000"/>
          <w:sz w:val="20"/>
          <w:szCs w:val="20"/>
        </w:rPr>
      </w:pPr>
    </w:p>
    <w:p w14:paraId="507F028F" w14:textId="77777777" w:rsidR="007F2147" w:rsidRDefault="007F2147" w:rsidP="0006490F">
      <w:pPr>
        <w:rPr>
          <w:rFonts w:cs="Arial"/>
          <w:b/>
          <w:i/>
          <w:color w:val="FF0000"/>
          <w:sz w:val="20"/>
          <w:szCs w:val="20"/>
        </w:rPr>
      </w:pPr>
    </w:p>
    <w:p w14:paraId="482AB780" w14:textId="77777777" w:rsidR="007F2147" w:rsidRPr="005F19E0" w:rsidRDefault="007F2147" w:rsidP="0006490F">
      <w:pPr>
        <w:rPr>
          <w:rFonts w:cs="Arial"/>
          <w:b/>
          <w:color w:val="FF0000"/>
          <w:sz w:val="20"/>
          <w:szCs w:val="20"/>
        </w:rPr>
        <w:sectPr w:rsidR="007F2147" w:rsidRPr="005F19E0" w:rsidSect="00F4532C">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cols w:space="720"/>
          <w:docGrid w:linePitch="360"/>
        </w:sectPr>
      </w:pPr>
    </w:p>
    <w:p w14:paraId="29CE7DA5" w14:textId="77777777" w:rsidR="00E71EF1" w:rsidRDefault="00E71EF1" w:rsidP="00E71EF1">
      <w:pPr>
        <w:pStyle w:val="Heading1"/>
      </w:pPr>
      <w:bookmarkStart w:id="8" w:name="_Toc304800196"/>
      <w:bookmarkStart w:id="9" w:name="_Toc324318333"/>
      <w:bookmarkStart w:id="10" w:name="_Toc324340477"/>
      <w:bookmarkStart w:id="11" w:name="_Toc491175822"/>
      <w:r>
        <w:lastRenderedPageBreak/>
        <w:t>Document Revision History</w:t>
      </w:r>
      <w:bookmarkEnd w:id="8"/>
      <w:bookmarkEnd w:id="9"/>
      <w:bookmarkEnd w:id="10"/>
      <w:bookmarkEnd w:id="11"/>
    </w:p>
    <w:p w14:paraId="71B6FC1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150AD035" w14:textId="77777777" w:rsidTr="001B276C">
        <w:trPr>
          <w:trHeight w:val="464"/>
        </w:trPr>
        <w:tc>
          <w:tcPr>
            <w:tcW w:w="858" w:type="pct"/>
            <w:tcBorders>
              <w:top w:val="nil"/>
              <w:bottom w:val="single" w:sz="18" w:space="0" w:color="FFFFFF"/>
            </w:tcBorders>
            <w:shd w:val="pct20" w:color="000000" w:fill="FFFFFF"/>
          </w:tcPr>
          <w:p w14:paraId="13F2777F"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57DEF4F7"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1F68798E"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80" w:type="pct"/>
            <w:tcBorders>
              <w:top w:val="nil"/>
              <w:bottom w:val="single" w:sz="18" w:space="0" w:color="FFFFFF"/>
            </w:tcBorders>
            <w:shd w:val="pct20" w:color="000000" w:fill="FFFFFF"/>
          </w:tcPr>
          <w:p w14:paraId="060BFD8D" w14:textId="77777777" w:rsidR="000374A5" w:rsidRPr="002B4FEF" w:rsidRDefault="000374A5" w:rsidP="000374A5">
            <w:pPr>
              <w:jc w:val="center"/>
              <w:rPr>
                <w:b/>
                <w:bCs/>
                <w:sz w:val="20"/>
                <w:szCs w:val="20"/>
              </w:rPr>
            </w:pPr>
            <w:r w:rsidRPr="002B4FEF">
              <w:rPr>
                <w:b/>
              </w:rPr>
              <w:t>Author (Company)</w:t>
            </w:r>
          </w:p>
        </w:tc>
      </w:tr>
      <w:tr w:rsidR="001B276C" w:rsidRPr="00783DAC" w14:paraId="54FBD218" w14:textId="77777777" w:rsidTr="001B276C">
        <w:trPr>
          <w:trHeight w:val="464"/>
        </w:trPr>
        <w:tc>
          <w:tcPr>
            <w:tcW w:w="858" w:type="pct"/>
            <w:tcBorders>
              <w:top w:val="single" w:sz="18" w:space="0" w:color="FFFFFF"/>
            </w:tcBorders>
            <w:shd w:val="clear" w:color="auto" w:fill="FFFFFF" w:themeFill="background1"/>
          </w:tcPr>
          <w:p w14:paraId="5AE24DC1" w14:textId="77777777" w:rsidR="001B276C" w:rsidRPr="00783DAC" w:rsidRDefault="001B276C" w:rsidP="008948E0">
            <w:pPr>
              <w:rPr>
                <w:b/>
                <w:bCs/>
              </w:rPr>
            </w:pPr>
            <w:r w:rsidRPr="00C26203">
              <w:rPr>
                <w:b/>
                <w:bCs/>
              </w:rPr>
              <w:t xml:space="preserve">Revision </w:t>
            </w:r>
            <w:r>
              <w:rPr>
                <w:b/>
                <w:bCs/>
              </w:rPr>
              <w:t>1</w:t>
            </w:r>
          </w:p>
        </w:tc>
        <w:tc>
          <w:tcPr>
            <w:tcW w:w="783" w:type="pct"/>
            <w:tcBorders>
              <w:top w:val="single" w:sz="18" w:space="0" w:color="FFFFFF"/>
            </w:tcBorders>
            <w:shd w:val="clear" w:color="auto" w:fill="FFFFFF" w:themeFill="background1"/>
          </w:tcPr>
          <w:p w14:paraId="36CDD069" w14:textId="77777777" w:rsidR="001B276C" w:rsidRPr="00783DAC" w:rsidRDefault="001B276C" w:rsidP="008948E0">
            <w:pPr>
              <w:rPr>
                <w:b/>
                <w:bCs/>
                <w:sz w:val="20"/>
                <w:szCs w:val="20"/>
                <w:highlight w:val="yellow"/>
              </w:rPr>
            </w:pPr>
            <w:r>
              <w:rPr>
                <w:b/>
                <w:bCs/>
                <w:sz w:val="20"/>
                <w:szCs w:val="20"/>
              </w:rPr>
              <w:t>9/3/09</w:t>
            </w:r>
          </w:p>
        </w:tc>
        <w:tc>
          <w:tcPr>
            <w:tcW w:w="1680" w:type="pct"/>
            <w:tcBorders>
              <w:top w:val="single" w:sz="18" w:space="0" w:color="FFFFFF"/>
            </w:tcBorders>
            <w:shd w:val="clear" w:color="auto" w:fill="FFFFFF" w:themeFill="background1"/>
          </w:tcPr>
          <w:p w14:paraId="10C12A2F" w14:textId="77777777" w:rsidR="001B276C" w:rsidRPr="00C26203" w:rsidRDefault="001B276C" w:rsidP="008B383E">
            <w:pPr>
              <w:rPr>
                <w:b/>
                <w:bCs/>
                <w:sz w:val="20"/>
                <w:szCs w:val="20"/>
              </w:rPr>
            </w:pPr>
            <w:r w:rsidRPr="00C26203">
              <w:rPr>
                <w:b/>
                <w:bCs/>
                <w:sz w:val="20"/>
                <w:szCs w:val="20"/>
              </w:rPr>
              <w:t>Original work paper</w:t>
            </w:r>
          </w:p>
          <w:p w14:paraId="5D7BFEFA" w14:textId="77777777" w:rsidR="001B276C" w:rsidRPr="00C26203" w:rsidRDefault="001B276C" w:rsidP="008B383E">
            <w:pPr>
              <w:rPr>
                <w:b/>
                <w:bCs/>
                <w:sz w:val="20"/>
                <w:szCs w:val="20"/>
              </w:rPr>
            </w:pPr>
            <w:r w:rsidRPr="00C26203">
              <w:rPr>
                <w:b/>
                <w:bCs/>
                <w:sz w:val="20"/>
                <w:szCs w:val="20"/>
              </w:rPr>
              <w:t>Ozone</w:t>
            </w:r>
            <w:r>
              <w:rPr>
                <w:b/>
                <w:bCs/>
                <w:sz w:val="20"/>
                <w:szCs w:val="20"/>
              </w:rPr>
              <w:t xml:space="preserve"> </w:t>
            </w:r>
            <w:r w:rsidRPr="00C26203">
              <w:rPr>
                <w:b/>
                <w:bCs/>
                <w:sz w:val="20"/>
                <w:szCs w:val="20"/>
              </w:rPr>
              <w:t>Laundry Nonresidential</w:t>
            </w:r>
          </w:p>
          <w:p w14:paraId="78F1959B" w14:textId="77777777" w:rsidR="001B276C" w:rsidRPr="00783DAC" w:rsidRDefault="001B276C" w:rsidP="008948E0">
            <w:pPr>
              <w:rPr>
                <w:b/>
                <w:bCs/>
                <w:sz w:val="20"/>
                <w:szCs w:val="20"/>
              </w:rPr>
            </w:pPr>
            <w:r w:rsidRPr="00C26203">
              <w:rPr>
                <w:b/>
                <w:bCs/>
                <w:sz w:val="20"/>
                <w:szCs w:val="20"/>
              </w:rPr>
              <w:t>PGECOAPP123 R0</w:t>
            </w:r>
          </w:p>
        </w:tc>
        <w:tc>
          <w:tcPr>
            <w:tcW w:w="1680" w:type="pct"/>
            <w:tcBorders>
              <w:top w:val="single" w:sz="18" w:space="0" w:color="FFFFFF"/>
            </w:tcBorders>
            <w:shd w:val="clear" w:color="auto" w:fill="FFFFFF" w:themeFill="background1"/>
          </w:tcPr>
          <w:p w14:paraId="670564E0" w14:textId="77777777" w:rsidR="001B276C" w:rsidRPr="00783DAC" w:rsidRDefault="001B276C" w:rsidP="008948E0">
            <w:pPr>
              <w:rPr>
                <w:b/>
                <w:bCs/>
                <w:sz w:val="20"/>
                <w:szCs w:val="20"/>
              </w:rPr>
            </w:pPr>
            <w:r w:rsidRPr="00C26203">
              <w:rPr>
                <w:b/>
                <w:bCs/>
                <w:sz w:val="20"/>
                <w:szCs w:val="20"/>
              </w:rPr>
              <w:t xml:space="preserve">Tim </w:t>
            </w:r>
            <w:proofErr w:type="spellStart"/>
            <w:r w:rsidRPr="00C26203">
              <w:rPr>
                <w:b/>
                <w:bCs/>
                <w:sz w:val="20"/>
                <w:szCs w:val="20"/>
              </w:rPr>
              <w:t>Minezaki</w:t>
            </w:r>
            <w:proofErr w:type="spellEnd"/>
            <w:r w:rsidRPr="00C26203">
              <w:rPr>
                <w:b/>
                <w:bCs/>
                <w:sz w:val="20"/>
                <w:szCs w:val="20"/>
              </w:rPr>
              <w:t xml:space="preserve"> (kW Engineering)</w:t>
            </w:r>
            <w:r w:rsidRPr="00C26203">
              <w:rPr>
                <w:b/>
                <w:bCs/>
                <w:i/>
                <w:sz w:val="20"/>
                <w:szCs w:val="20"/>
                <w:highlight w:val="cyan"/>
              </w:rPr>
              <w:t xml:space="preserve"> </w:t>
            </w:r>
          </w:p>
        </w:tc>
      </w:tr>
      <w:tr w:rsidR="001B276C" w:rsidRPr="00DE21B1" w14:paraId="1DE43B59" w14:textId="77777777" w:rsidTr="001B276C">
        <w:trPr>
          <w:trHeight w:val="464"/>
        </w:trPr>
        <w:tc>
          <w:tcPr>
            <w:tcW w:w="858" w:type="pct"/>
            <w:shd w:val="clear" w:color="auto" w:fill="D9D9D9" w:themeFill="background1" w:themeFillShade="D9"/>
          </w:tcPr>
          <w:p w14:paraId="5BB7D210" w14:textId="77777777" w:rsidR="001B276C" w:rsidRPr="00DE21B1" w:rsidRDefault="001B276C" w:rsidP="008948E0">
            <w:pPr>
              <w:rPr>
                <w:b/>
              </w:rPr>
            </w:pPr>
            <w:r>
              <w:rPr>
                <w:b/>
                <w:bCs/>
              </w:rPr>
              <w:t>Revision 2</w:t>
            </w:r>
          </w:p>
        </w:tc>
        <w:tc>
          <w:tcPr>
            <w:tcW w:w="783" w:type="pct"/>
            <w:shd w:val="clear" w:color="auto" w:fill="D9D9D9" w:themeFill="background1" w:themeFillShade="D9"/>
          </w:tcPr>
          <w:p w14:paraId="36028681" w14:textId="77777777" w:rsidR="001B276C" w:rsidRPr="005B00A6" w:rsidRDefault="001B276C" w:rsidP="005B00A6">
            <w:pPr>
              <w:autoSpaceDE w:val="0"/>
              <w:autoSpaceDN w:val="0"/>
              <w:adjustRightInd w:val="0"/>
              <w:rPr>
                <w:b/>
                <w:sz w:val="20"/>
                <w:szCs w:val="20"/>
                <w:highlight w:val="yellow"/>
              </w:rPr>
            </w:pPr>
            <w:r>
              <w:rPr>
                <w:b/>
                <w:bCs/>
                <w:sz w:val="20"/>
                <w:szCs w:val="20"/>
              </w:rPr>
              <w:t>3/8/10</w:t>
            </w:r>
          </w:p>
        </w:tc>
        <w:tc>
          <w:tcPr>
            <w:tcW w:w="1680" w:type="pct"/>
            <w:shd w:val="clear" w:color="auto" w:fill="D9D9D9" w:themeFill="background1" w:themeFillShade="D9"/>
          </w:tcPr>
          <w:p w14:paraId="19EEE2C6" w14:textId="77777777" w:rsidR="001B276C" w:rsidRPr="00DE21B1" w:rsidRDefault="001B276C" w:rsidP="008948E0">
            <w:pPr>
              <w:rPr>
                <w:b/>
                <w:sz w:val="20"/>
                <w:szCs w:val="20"/>
              </w:rPr>
            </w:pPr>
            <w:r>
              <w:rPr>
                <w:b/>
                <w:bCs/>
                <w:sz w:val="20"/>
                <w:szCs w:val="20"/>
              </w:rPr>
              <w:t>Updated NTG</w:t>
            </w:r>
          </w:p>
        </w:tc>
        <w:tc>
          <w:tcPr>
            <w:tcW w:w="1680" w:type="pct"/>
            <w:shd w:val="clear" w:color="auto" w:fill="D9D9D9" w:themeFill="background1" w:themeFillShade="D9"/>
          </w:tcPr>
          <w:p w14:paraId="7C7E8C95" w14:textId="77777777" w:rsidR="001B276C" w:rsidRPr="00DE21B1" w:rsidRDefault="001B276C" w:rsidP="00746DDC">
            <w:pPr>
              <w:rPr>
                <w:b/>
                <w:bCs/>
                <w:sz w:val="20"/>
                <w:szCs w:val="20"/>
              </w:rPr>
            </w:pPr>
            <w:r>
              <w:rPr>
                <w:b/>
                <w:bCs/>
                <w:sz w:val="20"/>
                <w:szCs w:val="20"/>
              </w:rPr>
              <w:t>Andrew Wieszczyk (PG&amp;E)</w:t>
            </w:r>
          </w:p>
        </w:tc>
      </w:tr>
      <w:tr w:rsidR="001B276C" w:rsidRPr="00DE21B1" w14:paraId="1440AD11" w14:textId="77777777" w:rsidTr="001B276C">
        <w:trPr>
          <w:trHeight w:val="464"/>
        </w:trPr>
        <w:tc>
          <w:tcPr>
            <w:tcW w:w="858" w:type="pct"/>
            <w:shd w:val="pct5" w:color="000000" w:fill="FFFFFF"/>
          </w:tcPr>
          <w:p w14:paraId="57C58BB0" w14:textId="77777777" w:rsidR="001B276C" w:rsidRPr="00DE21B1" w:rsidRDefault="001B276C" w:rsidP="008948E0">
            <w:pPr>
              <w:rPr>
                <w:b/>
              </w:rPr>
            </w:pPr>
            <w:r>
              <w:rPr>
                <w:b/>
                <w:bCs/>
              </w:rPr>
              <w:t>Revision 3</w:t>
            </w:r>
          </w:p>
        </w:tc>
        <w:tc>
          <w:tcPr>
            <w:tcW w:w="783" w:type="pct"/>
            <w:shd w:val="pct5" w:color="000000" w:fill="FFFFFF"/>
          </w:tcPr>
          <w:p w14:paraId="508CCE48" w14:textId="77777777" w:rsidR="001B276C" w:rsidRPr="00DE21B1" w:rsidRDefault="001B276C" w:rsidP="005B00A6">
            <w:pPr>
              <w:autoSpaceDE w:val="0"/>
              <w:autoSpaceDN w:val="0"/>
              <w:adjustRightInd w:val="0"/>
              <w:rPr>
                <w:b/>
                <w:sz w:val="20"/>
                <w:szCs w:val="20"/>
                <w:highlight w:val="yellow"/>
              </w:rPr>
            </w:pPr>
            <w:r>
              <w:rPr>
                <w:b/>
                <w:bCs/>
                <w:sz w:val="20"/>
                <w:szCs w:val="20"/>
              </w:rPr>
              <w:t>5/21/12</w:t>
            </w:r>
          </w:p>
        </w:tc>
        <w:tc>
          <w:tcPr>
            <w:tcW w:w="1680" w:type="pct"/>
            <w:shd w:val="pct5" w:color="000000" w:fill="FFFFFF"/>
          </w:tcPr>
          <w:p w14:paraId="44D276D9" w14:textId="77777777" w:rsidR="001B276C" w:rsidRDefault="001B276C" w:rsidP="008B383E">
            <w:pPr>
              <w:rPr>
                <w:b/>
                <w:bCs/>
                <w:sz w:val="20"/>
                <w:szCs w:val="20"/>
              </w:rPr>
            </w:pPr>
            <w:r>
              <w:rPr>
                <w:b/>
                <w:bCs/>
                <w:sz w:val="20"/>
                <w:szCs w:val="20"/>
              </w:rPr>
              <w:t>Ozone Laundry PGECOAPP123 R3.doc</w:t>
            </w:r>
          </w:p>
          <w:p w14:paraId="592642BD" w14:textId="77777777" w:rsidR="001B276C" w:rsidRDefault="001B276C" w:rsidP="008948E0">
            <w:pPr>
              <w:rPr>
                <w:b/>
                <w:sz w:val="20"/>
                <w:szCs w:val="20"/>
              </w:rPr>
            </w:pPr>
            <w:r>
              <w:rPr>
                <w:b/>
                <w:bCs/>
                <w:sz w:val="20"/>
                <w:szCs w:val="20"/>
              </w:rPr>
              <w:t>NTG updated and DEER tech type table added</w:t>
            </w:r>
          </w:p>
        </w:tc>
        <w:tc>
          <w:tcPr>
            <w:tcW w:w="1680" w:type="pct"/>
            <w:shd w:val="pct5" w:color="000000" w:fill="FFFFFF"/>
          </w:tcPr>
          <w:p w14:paraId="2BDB39AF" w14:textId="77777777" w:rsidR="001B276C" w:rsidRPr="00DE21B1" w:rsidRDefault="001B276C" w:rsidP="00746DDC">
            <w:pPr>
              <w:rPr>
                <w:b/>
                <w:bCs/>
                <w:sz w:val="20"/>
                <w:szCs w:val="20"/>
              </w:rPr>
            </w:pPr>
            <w:r>
              <w:rPr>
                <w:b/>
                <w:bCs/>
                <w:sz w:val="20"/>
                <w:szCs w:val="20"/>
              </w:rPr>
              <w:t>Jenny Roecks (PG&amp;E)</w:t>
            </w:r>
          </w:p>
        </w:tc>
      </w:tr>
      <w:tr w:rsidR="001B276C" w:rsidRPr="00DE21B1" w14:paraId="51BF2C43" w14:textId="77777777" w:rsidTr="001B276C">
        <w:trPr>
          <w:trHeight w:val="464"/>
        </w:trPr>
        <w:tc>
          <w:tcPr>
            <w:tcW w:w="858" w:type="pct"/>
            <w:shd w:val="clear" w:color="auto" w:fill="D9D9D9" w:themeFill="background1" w:themeFillShade="D9"/>
          </w:tcPr>
          <w:p w14:paraId="103C2B63" w14:textId="77777777" w:rsidR="001B276C" w:rsidRPr="00DE21B1" w:rsidRDefault="001B276C" w:rsidP="008948E0">
            <w:pPr>
              <w:rPr>
                <w:b/>
              </w:rPr>
            </w:pPr>
            <w:r>
              <w:rPr>
                <w:b/>
                <w:bCs/>
              </w:rPr>
              <w:t>Revision 3</w:t>
            </w:r>
          </w:p>
        </w:tc>
        <w:tc>
          <w:tcPr>
            <w:tcW w:w="783" w:type="pct"/>
            <w:shd w:val="clear" w:color="auto" w:fill="D9D9D9" w:themeFill="background1" w:themeFillShade="D9"/>
          </w:tcPr>
          <w:p w14:paraId="6F593001" w14:textId="77777777" w:rsidR="001B276C" w:rsidRPr="00DE21B1" w:rsidRDefault="001B276C" w:rsidP="005B00A6">
            <w:pPr>
              <w:autoSpaceDE w:val="0"/>
              <w:autoSpaceDN w:val="0"/>
              <w:adjustRightInd w:val="0"/>
              <w:rPr>
                <w:b/>
                <w:sz w:val="20"/>
                <w:szCs w:val="20"/>
                <w:highlight w:val="yellow"/>
              </w:rPr>
            </w:pPr>
            <w:r>
              <w:rPr>
                <w:b/>
                <w:bCs/>
                <w:sz w:val="20"/>
                <w:szCs w:val="20"/>
              </w:rPr>
              <w:t>8/24/12</w:t>
            </w:r>
          </w:p>
        </w:tc>
        <w:tc>
          <w:tcPr>
            <w:tcW w:w="1680" w:type="pct"/>
            <w:shd w:val="clear" w:color="auto" w:fill="D9D9D9" w:themeFill="background1" w:themeFillShade="D9"/>
          </w:tcPr>
          <w:p w14:paraId="4B939BA9" w14:textId="77777777" w:rsidR="001B276C" w:rsidRDefault="001B276C" w:rsidP="008B383E">
            <w:pPr>
              <w:rPr>
                <w:b/>
                <w:bCs/>
                <w:sz w:val="20"/>
                <w:szCs w:val="20"/>
              </w:rPr>
            </w:pPr>
            <w:r>
              <w:rPr>
                <w:b/>
                <w:bCs/>
                <w:sz w:val="20"/>
                <w:szCs w:val="20"/>
              </w:rPr>
              <w:t>Ozone Laundry PGECOAPP123 R3.doc</w:t>
            </w:r>
          </w:p>
          <w:p w14:paraId="78C781A0" w14:textId="77777777" w:rsidR="001B276C" w:rsidRDefault="001B276C" w:rsidP="008948E0">
            <w:pPr>
              <w:rPr>
                <w:b/>
                <w:sz w:val="20"/>
                <w:szCs w:val="20"/>
              </w:rPr>
            </w:pPr>
            <w:r>
              <w:rPr>
                <w:b/>
                <w:bCs/>
                <w:sz w:val="20"/>
                <w:szCs w:val="20"/>
              </w:rPr>
              <w:t>Adjustments made for ED directives</w:t>
            </w:r>
          </w:p>
        </w:tc>
        <w:tc>
          <w:tcPr>
            <w:tcW w:w="1680" w:type="pct"/>
            <w:shd w:val="clear" w:color="auto" w:fill="D9D9D9" w:themeFill="background1" w:themeFillShade="D9"/>
          </w:tcPr>
          <w:p w14:paraId="18C4D229" w14:textId="77777777" w:rsidR="001B276C" w:rsidRPr="00DE21B1" w:rsidRDefault="001B276C" w:rsidP="00746DDC">
            <w:pPr>
              <w:rPr>
                <w:b/>
                <w:bCs/>
                <w:sz w:val="20"/>
                <w:szCs w:val="20"/>
              </w:rPr>
            </w:pPr>
            <w:r>
              <w:rPr>
                <w:b/>
                <w:bCs/>
                <w:sz w:val="20"/>
                <w:szCs w:val="20"/>
              </w:rPr>
              <w:t>Steve Blanc(PG&amp;E)</w:t>
            </w:r>
          </w:p>
        </w:tc>
      </w:tr>
      <w:tr w:rsidR="001B276C" w:rsidRPr="00DE21B1" w14:paraId="24CE7A0D" w14:textId="77777777" w:rsidTr="001B276C">
        <w:trPr>
          <w:trHeight w:val="464"/>
        </w:trPr>
        <w:tc>
          <w:tcPr>
            <w:tcW w:w="858" w:type="pct"/>
            <w:shd w:val="pct5" w:color="000000" w:fill="FFFFFF"/>
          </w:tcPr>
          <w:p w14:paraId="2E11D71D" w14:textId="77777777" w:rsidR="001B276C" w:rsidRPr="00DE21B1" w:rsidRDefault="003D1707" w:rsidP="008948E0">
            <w:pPr>
              <w:rPr>
                <w:b/>
              </w:rPr>
            </w:pPr>
            <w:r>
              <w:rPr>
                <w:b/>
              </w:rPr>
              <w:t>Revision 4</w:t>
            </w:r>
          </w:p>
        </w:tc>
        <w:tc>
          <w:tcPr>
            <w:tcW w:w="783" w:type="pct"/>
            <w:shd w:val="pct5" w:color="000000" w:fill="FFFFFF"/>
          </w:tcPr>
          <w:p w14:paraId="7D764607" w14:textId="77777777" w:rsidR="001B276C" w:rsidRPr="00D11E3C" w:rsidRDefault="00393694" w:rsidP="00D11E3C">
            <w:pPr>
              <w:autoSpaceDE w:val="0"/>
              <w:autoSpaceDN w:val="0"/>
              <w:adjustRightInd w:val="0"/>
              <w:rPr>
                <w:b/>
                <w:sz w:val="20"/>
                <w:szCs w:val="20"/>
              </w:rPr>
            </w:pPr>
            <w:r>
              <w:rPr>
                <w:b/>
                <w:sz w:val="20"/>
                <w:szCs w:val="20"/>
              </w:rPr>
              <w:t>5/2</w:t>
            </w:r>
            <w:r w:rsidR="00D11E3C" w:rsidRPr="00D11E3C">
              <w:rPr>
                <w:b/>
                <w:sz w:val="20"/>
                <w:szCs w:val="20"/>
              </w:rPr>
              <w:t>/</w:t>
            </w:r>
            <w:r w:rsidR="003D1707" w:rsidRPr="00D11E3C">
              <w:rPr>
                <w:b/>
                <w:sz w:val="20"/>
                <w:szCs w:val="20"/>
              </w:rPr>
              <w:t>2014</w:t>
            </w:r>
          </w:p>
        </w:tc>
        <w:tc>
          <w:tcPr>
            <w:tcW w:w="1680" w:type="pct"/>
            <w:shd w:val="pct5" w:color="000000" w:fill="FFFFFF"/>
          </w:tcPr>
          <w:p w14:paraId="3D697A39" w14:textId="77777777" w:rsidR="001B276C" w:rsidRDefault="003D1707" w:rsidP="008948E0">
            <w:pPr>
              <w:rPr>
                <w:b/>
                <w:sz w:val="20"/>
                <w:szCs w:val="20"/>
              </w:rPr>
            </w:pPr>
            <w:r>
              <w:rPr>
                <w:b/>
                <w:sz w:val="20"/>
                <w:szCs w:val="20"/>
              </w:rPr>
              <w:t>Ozone Laundry PGECOAPP123 R4.doc</w:t>
            </w:r>
          </w:p>
          <w:p w14:paraId="1282A3F8" w14:textId="77777777" w:rsidR="003D1707" w:rsidRDefault="003D1707" w:rsidP="008948E0">
            <w:pPr>
              <w:rPr>
                <w:b/>
                <w:sz w:val="20"/>
                <w:szCs w:val="20"/>
              </w:rPr>
            </w:pPr>
            <w:r>
              <w:rPr>
                <w:b/>
                <w:sz w:val="20"/>
                <w:szCs w:val="20"/>
              </w:rPr>
              <w:t>Updated with new template.</w:t>
            </w:r>
          </w:p>
          <w:p w14:paraId="38D90A9B" w14:textId="77777777" w:rsidR="003D1707" w:rsidRDefault="003D1707" w:rsidP="008948E0">
            <w:pPr>
              <w:rPr>
                <w:b/>
                <w:sz w:val="20"/>
                <w:szCs w:val="20"/>
              </w:rPr>
            </w:pPr>
          </w:p>
        </w:tc>
        <w:tc>
          <w:tcPr>
            <w:tcW w:w="1680" w:type="pct"/>
            <w:shd w:val="pct5" w:color="000000" w:fill="FFFFFF"/>
          </w:tcPr>
          <w:p w14:paraId="7978A7E8" w14:textId="77777777" w:rsidR="001B276C" w:rsidRPr="00DE21B1" w:rsidRDefault="003D1707" w:rsidP="00746DDC">
            <w:pPr>
              <w:rPr>
                <w:b/>
                <w:bCs/>
                <w:sz w:val="20"/>
                <w:szCs w:val="20"/>
              </w:rPr>
            </w:pPr>
            <w:r>
              <w:rPr>
                <w:b/>
                <w:bCs/>
                <w:sz w:val="20"/>
                <w:szCs w:val="20"/>
              </w:rPr>
              <w:t>Jia Huang (PG&amp;E)</w:t>
            </w:r>
          </w:p>
        </w:tc>
      </w:tr>
      <w:tr w:rsidR="00574D78" w:rsidRPr="00DE21B1" w14:paraId="2CF5F47B" w14:textId="77777777" w:rsidTr="00574D78">
        <w:trPr>
          <w:trHeight w:val="464"/>
        </w:trPr>
        <w:tc>
          <w:tcPr>
            <w:tcW w:w="858" w:type="pct"/>
            <w:shd w:val="clear" w:color="auto" w:fill="D9D9D9" w:themeFill="background1" w:themeFillShade="D9"/>
          </w:tcPr>
          <w:p w14:paraId="202D077C" w14:textId="77777777" w:rsidR="00574D78" w:rsidRDefault="00574D78" w:rsidP="008948E0">
            <w:pPr>
              <w:rPr>
                <w:b/>
              </w:rPr>
            </w:pPr>
            <w:r>
              <w:rPr>
                <w:b/>
              </w:rPr>
              <w:t>Revision 5</w:t>
            </w:r>
          </w:p>
        </w:tc>
        <w:tc>
          <w:tcPr>
            <w:tcW w:w="783" w:type="pct"/>
            <w:shd w:val="clear" w:color="auto" w:fill="D9D9D9" w:themeFill="background1" w:themeFillShade="D9"/>
          </w:tcPr>
          <w:p w14:paraId="7A84F3D0" w14:textId="77777777" w:rsidR="00574D78" w:rsidRDefault="00574D78" w:rsidP="00D11E3C">
            <w:pPr>
              <w:autoSpaceDE w:val="0"/>
              <w:autoSpaceDN w:val="0"/>
              <w:adjustRightInd w:val="0"/>
              <w:rPr>
                <w:b/>
                <w:sz w:val="20"/>
                <w:szCs w:val="20"/>
              </w:rPr>
            </w:pPr>
            <w:r>
              <w:rPr>
                <w:b/>
                <w:sz w:val="20"/>
                <w:szCs w:val="20"/>
              </w:rPr>
              <w:t>1/1/2016</w:t>
            </w:r>
          </w:p>
        </w:tc>
        <w:tc>
          <w:tcPr>
            <w:tcW w:w="1680" w:type="pct"/>
            <w:shd w:val="clear" w:color="auto" w:fill="D9D9D9" w:themeFill="background1" w:themeFillShade="D9"/>
          </w:tcPr>
          <w:p w14:paraId="598A759C" w14:textId="77777777" w:rsidR="00574D78" w:rsidRDefault="00574D78" w:rsidP="008948E0">
            <w:pPr>
              <w:rPr>
                <w:b/>
                <w:sz w:val="20"/>
                <w:szCs w:val="20"/>
              </w:rPr>
            </w:pPr>
            <w:r>
              <w:rPr>
                <w:b/>
                <w:sz w:val="20"/>
                <w:szCs w:val="20"/>
              </w:rPr>
              <w:t>Ex ante format change</w:t>
            </w:r>
          </w:p>
        </w:tc>
        <w:tc>
          <w:tcPr>
            <w:tcW w:w="1680" w:type="pct"/>
            <w:shd w:val="clear" w:color="auto" w:fill="D9D9D9" w:themeFill="background1" w:themeFillShade="D9"/>
          </w:tcPr>
          <w:p w14:paraId="2FCED609" w14:textId="77777777" w:rsidR="00574D78" w:rsidRDefault="00574D78" w:rsidP="00746DDC">
            <w:pPr>
              <w:rPr>
                <w:b/>
                <w:bCs/>
                <w:sz w:val="20"/>
                <w:szCs w:val="20"/>
              </w:rPr>
            </w:pPr>
            <w:r>
              <w:rPr>
                <w:b/>
                <w:bCs/>
                <w:sz w:val="20"/>
                <w:szCs w:val="20"/>
              </w:rPr>
              <w:t>Jia Huang (PG&amp;E)</w:t>
            </w:r>
          </w:p>
        </w:tc>
      </w:tr>
      <w:tr w:rsidR="00574D78" w:rsidRPr="00DE21B1" w14:paraId="2DAB52A6" w14:textId="77777777" w:rsidTr="001B276C">
        <w:trPr>
          <w:trHeight w:val="464"/>
        </w:trPr>
        <w:tc>
          <w:tcPr>
            <w:tcW w:w="858" w:type="pct"/>
            <w:shd w:val="pct5" w:color="000000" w:fill="FFFFFF"/>
          </w:tcPr>
          <w:p w14:paraId="72B0EB05" w14:textId="77777777" w:rsidR="00574D78" w:rsidRDefault="00574D78" w:rsidP="008948E0">
            <w:pPr>
              <w:rPr>
                <w:b/>
              </w:rPr>
            </w:pPr>
            <w:r>
              <w:rPr>
                <w:b/>
              </w:rPr>
              <w:t>Revision 6</w:t>
            </w:r>
          </w:p>
        </w:tc>
        <w:tc>
          <w:tcPr>
            <w:tcW w:w="783" w:type="pct"/>
            <w:shd w:val="pct5" w:color="000000" w:fill="FFFFFF"/>
          </w:tcPr>
          <w:p w14:paraId="083524F1" w14:textId="77777777" w:rsidR="00574D78" w:rsidRDefault="00574D78" w:rsidP="00D11E3C">
            <w:pPr>
              <w:autoSpaceDE w:val="0"/>
              <w:autoSpaceDN w:val="0"/>
              <w:adjustRightInd w:val="0"/>
              <w:rPr>
                <w:b/>
                <w:sz w:val="20"/>
                <w:szCs w:val="20"/>
              </w:rPr>
            </w:pPr>
            <w:r>
              <w:rPr>
                <w:b/>
                <w:sz w:val="20"/>
                <w:szCs w:val="20"/>
              </w:rPr>
              <w:t>8/9/2017</w:t>
            </w:r>
          </w:p>
        </w:tc>
        <w:tc>
          <w:tcPr>
            <w:tcW w:w="1680" w:type="pct"/>
            <w:shd w:val="pct5" w:color="000000" w:fill="FFFFFF"/>
          </w:tcPr>
          <w:p w14:paraId="79D6EA6B" w14:textId="77777777" w:rsidR="00574D78" w:rsidRDefault="00574D78" w:rsidP="00A47910">
            <w:pPr>
              <w:rPr>
                <w:b/>
                <w:sz w:val="20"/>
                <w:szCs w:val="20"/>
              </w:rPr>
            </w:pPr>
            <w:r>
              <w:rPr>
                <w:b/>
                <w:sz w:val="20"/>
                <w:szCs w:val="20"/>
              </w:rPr>
              <w:t>Updated cost calculations with SCG data. Revised measure eligibility requirements. Expanded applicability to nursing homes, correctional facilities, and large hotels/motels (&gt;250 rooms)</w:t>
            </w:r>
            <w:r w:rsidR="00A47910">
              <w:rPr>
                <w:b/>
                <w:sz w:val="20"/>
                <w:szCs w:val="20"/>
              </w:rPr>
              <w:t xml:space="preserve"> based on SCG project data</w:t>
            </w:r>
            <w:r>
              <w:rPr>
                <w:b/>
                <w:sz w:val="20"/>
                <w:szCs w:val="20"/>
              </w:rPr>
              <w:t xml:space="preserve">. Changed measure application type </w:t>
            </w:r>
            <w:r w:rsidR="00A47910">
              <w:rPr>
                <w:b/>
                <w:sz w:val="20"/>
                <w:szCs w:val="20"/>
              </w:rPr>
              <w:t>from</w:t>
            </w:r>
            <w:r>
              <w:rPr>
                <w:b/>
                <w:sz w:val="20"/>
                <w:szCs w:val="20"/>
              </w:rPr>
              <w:t xml:space="preserve"> ROB to REA. Add direct install channel.</w:t>
            </w:r>
          </w:p>
        </w:tc>
        <w:tc>
          <w:tcPr>
            <w:tcW w:w="1680" w:type="pct"/>
            <w:shd w:val="pct5" w:color="000000" w:fill="FFFFFF"/>
          </w:tcPr>
          <w:p w14:paraId="44EC05E7" w14:textId="77777777" w:rsidR="00574D78" w:rsidRDefault="00574D78" w:rsidP="00746DDC">
            <w:pPr>
              <w:rPr>
                <w:b/>
                <w:bCs/>
                <w:sz w:val="20"/>
                <w:szCs w:val="20"/>
              </w:rPr>
            </w:pPr>
            <w:r>
              <w:rPr>
                <w:b/>
                <w:bCs/>
                <w:sz w:val="20"/>
                <w:szCs w:val="20"/>
              </w:rPr>
              <w:t>Jia Huang (PG&amp;E)</w:t>
            </w:r>
          </w:p>
        </w:tc>
      </w:tr>
      <w:tr w:rsidR="00574D78" w:rsidRPr="00DE21B1" w14:paraId="78F34841" w14:textId="77777777" w:rsidTr="001B276C">
        <w:trPr>
          <w:trHeight w:val="464"/>
        </w:trPr>
        <w:tc>
          <w:tcPr>
            <w:tcW w:w="858" w:type="pct"/>
            <w:shd w:val="pct5" w:color="000000" w:fill="FFFFFF"/>
          </w:tcPr>
          <w:p w14:paraId="208E7B14" w14:textId="77777777" w:rsidR="00574D78" w:rsidRDefault="00574D78" w:rsidP="008948E0">
            <w:pPr>
              <w:rPr>
                <w:b/>
              </w:rPr>
            </w:pPr>
          </w:p>
        </w:tc>
        <w:tc>
          <w:tcPr>
            <w:tcW w:w="783" w:type="pct"/>
            <w:shd w:val="pct5" w:color="000000" w:fill="FFFFFF"/>
          </w:tcPr>
          <w:p w14:paraId="151480C4" w14:textId="77777777" w:rsidR="00574D78" w:rsidRDefault="00574D78" w:rsidP="00D11E3C">
            <w:pPr>
              <w:autoSpaceDE w:val="0"/>
              <w:autoSpaceDN w:val="0"/>
              <w:adjustRightInd w:val="0"/>
              <w:rPr>
                <w:b/>
                <w:sz w:val="20"/>
                <w:szCs w:val="20"/>
              </w:rPr>
            </w:pPr>
          </w:p>
        </w:tc>
        <w:tc>
          <w:tcPr>
            <w:tcW w:w="1680" w:type="pct"/>
            <w:shd w:val="pct5" w:color="000000" w:fill="FFFFFF"/>
          </w:tcPr>
          <w:p w14:paraId="4E9C9227" w14:textId="77777777" w:rsidR="00574D78" w:rsidRDefault="00574D78" w:rsidP="008948E0">
            <w:pPr>
              <w:rPr>
                <w:b/>
                <w:sz w:val="20"/>
                <w:szCs w:val="20"/>
              </w:rPr>
            </w:pPr>
          </w:p>
        </w:tc>
        <w:tc>
          <w:tcPr>
            <w:tcW w:w="1680" w:type="pct"/>
            <w:shd w:val="pct5" w:color="000000" w:fill="FFFFFF"/>
          </w:tcPr>
          <w:p w14:paraId="679FCFC9" w14:textId="77777777" w:rsidR="00574D78" w:rsidRDefault="00574D78" w:rsidP="00746DDC">
            <w:pPr>
              <w:rPr>
                <w:b/>
                <w:bCs/>
                <w:sz w:val="20"/>
                <w:szCs w:val="20"/>
              </w:rPr>
            </w:pPr>
          </w:p>
        </w:tc>
      </w:tr>
    </w:tbl>
    <w:p w14:paraId="2827D795" w14:textId="77777777" w:rsidR="00E71EF1"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491175823"/>
      <w:r w:rsidR="001248A3">
        <w:lastRenderedPageBreak/>
        <w:t>Table</w:t>
      </w:r>
      <w:r w:rsidR="006559C8">
        <w:t xml:space="preserve"> of Contents</w:t>
      </w:r>
      <w:bookmarkEnd w:id="12"/>
      <w:bookmarkEnd w:id="13"/>
      <w:bookmarkEnd w:id="14"/>
      <w:bookmarkEnd w:id="15"/>
      <w:bookmarkEnd w:id="16"/>
      <w:bookmarkEnd w:id="17"/>
    </w:p>
    <w:p w14:paraId="1B862D3F" w14:textId="1024AD76" w:rsidR="00ED0B7F"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91175821" w:history="1">
        <w:r w:rsidR="00ED0B7F" w:rsidRPr="002F012F">
          <w:rPr>
            <w:rStyle w:val="Hyperlink"/>
            <w:noProof/>
          </w:rPr>
          <w:t>At-a-Glance Summary</w:t>
        </w:r>
        <w:r w:rsidR="00ED0B7F">
          <w:rPr>
            <w:noProof/>
            <w:webHidden/>
          </w:rPr>
          <w:tab/>
        </w:r>
        <w:r w:rsidR="00ED0B7F">
          <w:rPr>
            <w:noProof/>
            <w:webHidden/>
          </w:rPr>
          <w:fldChar w:fldCharType="begin"/>
        </w:r>
        <w:r w:rsidR="00ED0B7F">
          <w:rPr>
            <w:noProof/>
            <w:webHidden/>
          </w:rPr>
          <w:instrText xml:space="preserve"> PAGEREF _Toc491175821 \h </w:instrText>
        </w:r>
        <w:r w:rsidR="00ED0B7F">
          <w:rPr>
            <w:noProof/>
            <w:webHidden/>
          </w:rPr>
        </w:r>
        <w:r w:rsidR="00ED0B7F">
          <w:rPr>
            <w:noProof/>
            <w:webHidden/>
          </w:rPr>
          <w:fldChar w:fldCharType="separate"/>
        </w:r>
        <w:r w:rsidR="006E5760">
          <w:rPr>
            <w:noProof/>
            <w:webHidden/>
          </w:rPr>
          <w:t>ii</w:t>
        </w:r>
        <w:r w:rsidR="00ED0B7F">
          <w:rPr>
            <w:noProof/>
            <w:webHidden/>
          </w:rPr>
          <w:fldChar w:fldCharType="end"/>
        </w:r>
      </w:hyperlink>
    </w:p>
    <w:p w14:paraId="0582939F" w14:textId="2788F7AB" w:rsidR="00ED0B7F" w:rsidRDefault="007C4CAE">
      <w:pPr>
        <w:pStyle w:val="TOC1"/>
        <w:tabs>
          <w:tab w:val="right" w:leader="dot" w:pos="9350"/>
        </w:tabs>
        <w:rPr>
          <w:rFonts w:asciiTheme="minorHAnsi" w:eastAsiaTheme="minorEastAsia" w:hAnsiTheme="minorHAnsi" w:cstheme="minorBidi"/>
          <w:noProof/>
          <w:szCs w:val="22"/>
        </w:rPr>
      </w:pPr>
      <w:hyperlink w:anchor="_Toc491175822" w:history="1">
        <w:r w:rsidR="00ED0B7F" w:rsidRPr="002F012F">
          <w:rPr>
            <w:rStyle w:val="Hyperlink"/>
            <w:noProof/>
          </w:rPr>
          <w:t>Document Revision History</w:t>
        </w:r>
        <w:r w:rsidR="00ED0B7F">
          <w:rPr>
            <w:noProof/>
            <w:webHidden/>
          </w:rPr>
          <w:tab/>
        </w:r>
        <w:r w:rsidR="00ED0B7F">
          <w:rPr>
            <w:noProof/>
            <w:webHidden/>
          </w:rPr>
          <w:fldChar w:fldCharType="begin"/>
        </w:r>
        <w:r w:rsidR="00ED0B7F">
          <w:rPr>
            <w:noProof/>
            <w:webHidden/>
          </w:rPr>
          <w:instrText xml:space="preserve"> PAGEREF _Toc491175822 \h </w:instrText>
        </w:r>
        <w:r w:rsidR="00ED0B7F">
          <w:rPr>
            <w:noProof/>
            <w:webHidden/>
          </w:rPr>
        </w:r>
        <w:r w:rsidR="00ED0B7F">
          <w:rPr>
            <w:noProof/>
            <w:webHidden/>
          </w:rPr>
          <w:fldChar w:fldCharType="separate"/>
        </w:r>
        <w:r w:rsidR="006E5760">
          <w:rPr>
            <w:noProof/>
            <w:webHidden/>
          </w:rPr>
          <w:t>iii</w:t>
        </w:r>
        <w:r w:rsidR="00ED0B7F">
          <w:rPr>
            <w:noProof/>
            <w:webHidden/>
          </w:rPr>
          <w:fldChar w:fldCharType="end"/>
        </w:r>
      </w:hyperlink>
    </w:p>
    <w:p w14:paraId="7D65E40B" w14:textId="04B89067" w:rsidR="00ED0B7F" w:rsidRDefault="007C4CAE">
      <w:pPr>
        <w:pStyle w:val="TOC1"/>
        <w:tabs>
          <w:tab w:val="right" w:leader="dot" w:pos="9350"/>
        </w:tabs>
        <w:rPr>
          <w:rFonts w:asciiTheme="minorHAnsi" w:eastAsiaTheme="minorEastAsia" w:hAnsiTheme="minorHAnsi" w:cstheme="minorBidi"/>
          <w:noProof/>
          <w:szCs w:val="22"/>
        </w:rPr>
      </w:pPr>
      <w:hyperlink w:anchor="_Toc491175823" w:history="1">
        <w:r w:rsidR="00ED0B7F" w:rsidRPr="002F012F">
          <w:rPr>
            <w:rStyle w:val="Hyperlink"/>
            <w:noProof/>
          </w:rPr>
          <w:t>Table of Contents</w:t>
        </w:r>
        <w:r w:rsidR="00ED0B7F">
          <w:rPr>
            <w:noProof/>
            <w:webHidden/>
          </w:rPr>
          <w:tab/>
        </w:r>
        <w:r w:rsidR="00ED0B7F">
          <w:rPr>
            <w:noProof/>
            <w:webHidden/>
          </w:rPr>
          <w:fldChar w:fldCharType="begin"/>
        </w:r>
        <w:r w:rsidR="00ED0B7F">
          <w:rPr>
            <w:noProof/>
            <w:webHidden/>
          </w:rPr>
          <w:instrText xml:space="preserve"> PAGEREF _Toc491175823 \h </w:instrText>
        </w:r>
        <w:r w:rsidR="00ED0B7F">
          <w:rPr>
            <w:noProof/>
            <w:webHidden/>
          </w:rPr>
        </w:r>
        <w:r w:rsidR="00ED0B7F">
          <w:rPr>
            <w:noProof/>
            <w:webHidden/>
          </w:rPr>
          <w:fldChar w:fldCharType="separate"/>
        </w:r>
        <w:r w:rsidR="006E5760">
          <w:rPr>
            <w:noProof/>
            <w:webHidden/>
          </w:rPr>
          <w:t>iv</w:t>
        </w:r>
        <w:r w:rsidR="00ED0B7F">
          <w:rPr>
            <w:noProof/>
            <w:webHidden/>
          </w:rPr>
          <w:fldChar w:fldCharType="end"/>
        </w:r>
      </w:hyperlink>
    </w:p>
    <w:p w14:paraId="48EA7D6C" w14:textId="5099E896" w:rsidR="00ED0B7F" w:rsidRDefault="007C4CAE">
      <w:pPr>
        <w:pStyle w:val="TOC1"/>
        <w:tabs>
          <w:tab w:val="right" w:leader="dot" w:pos="9350"/>
        </w:tabs>
        <w:rPr>
          <w:rFonts w:asciiTheme="minorHAnsi" w:eastAsiaTheme="minorEastAsia" w:hAnsiTheme="minorHAnsi" w:cstheme="minorBidi"/>
          <w:noProof/>
          <w:szCs w:val="22"/>
        </w:rPr>
      </w:pPr>
      <w:hyperlink w:anchor="_Toc491175824" w:history="1">
        <w:r w:rsidR="00ED0B7F" w:rsidRPr="002F012F">
          <w:rPr>
            <w:rStyle w:val="Hyperlink"/>
            <w:noProof/>
          </w:rPr>
          <w:t>List of Tables</w:t>
        </w:r>
        <w:r w:rsidR="00ED0B7F">
          <w:rPr>
            <w:noProof/>
            <w:webHidden/>
          </w:rPr>
          <w:tab/>
        </w:r>
        <w:r w:rsidR="00ED0B7F">
          <w:rPr>
            <w:noProof/>
            <w:webHidden/>
          </w:rPr>
          <w:fldChar w:fldCharType="begin"/>
        </w:r>
        <w:r w:rsidR="00ED0B7F">
          <w:rPr>
            <w:noProof/>
            <w:webHidden/>
          </w:rPr>
          <w:instrText xml:space="preserve"> PAGEREF _Toc491175824 \h </w:instrText>
        </w:r>
        <w:r w:rsidR="00ED0B7F">
          <w:rPr>
            <w:noProof/>
            <w:webHidden/>
          </w:rPr>
        </w:r>
        <w:r w:rsidR="00ED0B7F">
          <w:rPr>
            <w:noProof/>
            <w:webHidden/>
          </w:rPr>
          <w:fldChar w:fldCharType="separate"/>
        </w:r>
        <w:r w:rsidR="006E5760">
          <w:rPr>
            <w:noProof/>
            <w:webHidden/>
          </w:rPr>
          <w:t>v</w:t>
        </w:r>
        <w:r w:rsidR="00ED0B7F">
          <w:rPr>
            <w:noProof/>
            <w:webHidden/>
          </w:rPr>
          <w:fldChar w:fldCharType="end"/>
        </w:r>
      </w:hyperlink>
    </w:p>
    <w:p w14:paraId="66DA62C9" w14:textId="3ED49019" w:rsidR="00ED0B7F" w:rsidRDefault="007C4CAE">
      <w:pPr>
        <w:pStyle w:val="TOC1"/>
        <w:tabs>
          <w:tab w:val="right" w:leader="dot" w:pos="9350"/>
        </w:tabs>
        <w:rPr>
          <w:rFonts w:asciiTheme="minorHAnsi" w:eastAsiaTheme="minorEastAsia" w:hAnsiTheme="minorHAnsi" w:cstheme="minorBidi"/>
          <w:noProof/>
          <w:szCs w:val="22"/>
        </w:rPr>
      </w:pPr>
      <w:hyperlink w:anchor="_Toc491175825" w:history="1">
        <w:r w:rsidR="00ED0B7F" w:rsidRPr="002F012F">
          <w:rPr>
            <w:rStyle w:val="Hyperlink"/>
            <w:noProof/>
          </w:rPr>
          <w:t>List of Figures</w:t>
        </w:r>
        <w:r w:rsidR="00ED0B7F">
          <w:rPr>
            <w:noProof/>
            <w:webHidden/>
          </w:rPr>
          <w:tab/>
        </w:r>
        <w:r w:rsidR="00ED0B7F">
          <w:rPr>
            <w:noProof/>
            <w:webHidden/>
          </w:rPr>
          <w:fldChar w:fldCharType="begin"/>
        </w:r>
        <w:r w:rsidR="00ED0B7F">
          <w:rPr>
            <w:noProof/>
            <w:webHidden/>
          </w:rPr>
          <w:instrText xml:space="preserve"> PAGEREF _Toc491175825 \h </w:instrText>
        </w:r>
        <w:r w:rsidR="00ED0B7F">
          <w:rPr>
            <w:noProof/>
            <w:webHidden/>
          </w:rPr>
        </w:r>
        <w:r w:rsidR="00ED0B7F">
          <w:rPr>
            <w:noProof/>
            <w:webHidden/>
          </w:rPr>
          <w:fldChar w:fldCharType="separate"/>
        </w:r>
        <w:r w:rsidR="006E5760">
          <w:rPr>
            <w:noProof/>
            <w:webHidden/>
          </w:rPr>
          <w:t>v</w:t>
        </w:r>
        <w:r w:rsidR="00ED0B7F">
          <w:rPr>
            <w:noProof/>
            <w:webHidden/>
          </w:rPr>
          <w:fldChar w:fldCharType="end"/>
        </w:r>
      </w:hyperlink>
    </w:p>
    <w:p w14:paraId="630CAEF4" w14:textId="4A7D1EB2" w:rsidR="00ED0B7F" w:rsidRDefault="007C4CAE">
      <w:pPr>
        <w:pStyle w:val="TOC1"/>
        <w:tabs>
          <w:tab w:val="right" w:leader="dot" w:pos="9350"/>
        </w:tabs>
        <w:rPr>
          <w:rFonts w:asciiTheme="minorHAnsi" w:eastAsiaTheme="minorEastAsia" w:hAnsiTheme="minorHAnsi" w:cstheme="minorBidi"/>
          <w:noProof/>
          <w:szCs w:val="22"/>
        </w:rPr>
      </w:pPr>
      <w:hyperlink w:anchor="_Toc491175826" w:history="1">
        <w:r w:rsidR="00ED0B7F" w:rsidRPr="002F012F">
          <w:rPr>
            <w:rStyle w:val="Hyperlink"/>
            <w:noProof/>
          </w:rPr>
          <w:t>Section 1. General Measure &amp; Baseline Data</w:t>
        </w:r>
        <w:r w:rsidR="00ED0B7F">
          <w:rPr>
            <w:noProof/>
            <w:webHidden/>
          </w:rPr>
          <w:tab/>
        </w:r>
        <w:r w:rsidR="00ED0B7F">
          <w:rPr>
            <w:noProof/>
            <w:webHidden/>
          </w:rPr>
          <w:fldChar w:fldCharType="begin"/>
        </w:r>
        <w:r w:rsidR="00ED0B7F">
          <w:rPr>
            <w:noProof/>
            <w:webHidden/>
          </w:rPr>
          <w:instrText xml:space="preserve"> PAGEREF _Toc491175826 \h </w:instrText>
        </w:r>
        <w:r w:rsidR="00ED0B7F">
          <w:rPr>
            <w:noProof/>
            <w:webHidden/>
          </w:rPr>
        </w:r>
        <w:r w:rsidR="00ED0B7F">
          <w:rPr>
            <w:noProof/>
            <w:webHidden/>
          </w:rPr>
          <w:fldChar w:fldCharType="separate"/>
        </w:r>
        <w:r w:rsidR="006E5760">
          <w:rPr>
            <w:noProof/>
            <w:webHidden/>
          </w:rPr>
          <w:t>1</w:t>
        </w:r>
        <w:r w:rsidR="00ED0B7F">
          <w:rPr>
            <w:noProof/>
            <w:webHidden/>
          </w:rPr>
          <w:fldChar w:fldCharType="end"/>
        </w:r>
      </w:hyperlink>
    </w:p>
    <w:p w14:paraId="78A0C318" w14:textId="56CF13A3" w:rsidR="00ED0B7F" w:rsidRDefault="007C4CAE">
      <w:pPr>
        <w:pStyle w:val="TOC2"/>
        <w:tabs>
          <w:tab w:val="right" w:leader="dot" w:pos="9350"/>
        </w:tabs>
        <w:rPr>
          <w:rFonts w:asciiTheme="minorHAnsi" w:eastAsiaTheme="minorEastAsia" w:hAnsiTheme="minorHAnsi" w:cstheme="minorBidi"/>
          <w:noProof/>
          <w:szCs w:val="22"/>
        </w:rPr>
      </w:pPr>
      <w:hyperlink w:anchor="_Toc491175827" w:history="1">
        <w:r w:rsidR="00ED0B7F" w:rsidRPr="002F012F">
          <w:rPr>
            <w:rStyle w:val="Hyperlink"/>
            <w:noProof/>
          </w:rPr>
          <w:t>1.1 Product Measure Description &amp; Background</w:t>
        </w:r>
        <w:r w:rsidR="00ED0B7F">
          <w:rPr>
            <w:noProof/>
            <w:webHidden/>
          </w:rPr>
          <w:tab/>
        </w:r>
        <w:r w:rsidR="00ED0B7F">
          <w:rPr>
            <w:noProof/>
            <w:webHidden/>
          </w:rPr>
          <w:fldChar w:fldCharType="begin"/>
        </w:r>
        <w:r w:rsidR="00ED0B7F">
          <w:rPr>
            <w:noProof/>
            <w:webHidden/>
          </w:rPr>
          <w:instrText xml:space="preserve"> PAGEREF _Toc491175827 \h </w:instrText>
        </w:r>
        <w:r w:rsidR="00ED0B7F">
          <w:rPr>
            <w:noProof/>
            <w:webHidden/>
          </w:rPr>
        </w:r>
        <w:r w:rsidR="00ED0B7F">
          <w:rPr>
            <w:noProof/>
            <w:webHidden/>
          </w:rPr>
          <w:fldChar w:fldCharType="separate"/>
        </w:r>
        <w:r w:rsidR="006E5760">
          <w:rPr>
            <w:noProof/>
            <w:webHidden/>
          </w:rPr>
          <w:t>1</w:t>
        </w:r>
        <w:r w:rsidR="00ED0B7F">
          <w:rPr>
            <w:noProof/>
            <w:webHidden/>
          </w:rPr>
          <w:fldChar w:fldCharType="end"/>
        </w:r>
      </w:hyperlink>
    </w:p>
    <w:p w14:paraId="4A69649B" w14:textId="6D7DF93D" w:rsidR="00ED0B7F" w:rsidRDefault="007C4CAE">
      <w:pPr>
        <w:pStyle w:val="TOC2"/>
        <w:tabs>
          <w:tab w:val="right" w:leader="dot" w:pos="9350"/>
        </w:tabs>
        <w:rPr>
          <w:rFonts w:asciiTheme="minorHAnsi" w:eastAsiaTheme="minorEastAsia" w:hAnsiTheme="minorHAnsi" w:cstheme="minorBidi"/>
          <w:noProof/>
          <w:szCs w:val="22"/>
        </w:rPr>
      </w:pPr>
      <w:hyperlink w:anchor="_Toc491175828" w:history="1">
        <w:r w:rsidR="00ED0B7F" w:rsidRPr="002F012F">
          <w:rPr>
            <w:rStyle w:val="Hyperlink"/>
            <w:noProof/>
          </w:rPr>
          <w:t>1.2 Product Technical Description</w:t>
        </w:r>
        <w:r w:rsidR="00ED0B7F">
          <w:rPr>
            <w:noProof/>
            <w:webHidden/>
          </w:rPr>
          <w:tab/>
        </w:r>
        <w:r w:rsidR="00ED0B7F">
          <w:rPr>
            <w:noProof/>
            <w:webHidden/>
          </w:rPr>
          <w:fldChar w:fldCharType="begin"/>
        </w:r>
        <w:r w:rsidR="00ED0B7F">
          <w:rPr>
            <w:noProof/>
            <w:webHidden/>
          </w:rPr>
          <w:instrText xml:space="preserve"> PAGEREF _Toc491175828 \h </w:instrText>
        </w:r>
        <w:r w:rsidR="00ED0B7F">
          <w:rPr>
            <w:noProof/>
            <w:webHidden/>
          </w:rPr>
        </w:r>
        <w:r w:rsidR="00ED0B7F">
          <w:rPr>
            <w:noProof/>
            <w:webHidden/>
          </w:rPr>
          <w:fldChar w:fldCharType="separate"/>
        </w:r>
        <w:r w:rsidR="006E5760">
          <w:rPr>
            <w:noProof/>
            <w:webHidden/>
          </w:rPr>
          <w:t>2</w:t>
        </w:r>
        <w:r w:rsidR="00ED0B7F">
          <w:rPr>
            <w:noProof/>
            <w:webHidden/>
          </w:rPr>
          <w:fldChar w:fldCharType="end"/>
        </w:r>
      </w:hyperlink>
    </w:p>
    <w:p w14:paraId="484575EF" w14:textId="1AD025B9" w:rsidR="00ED0B7F" w:rsidRDefault="007C4CAE">
      <w:pPr>
        <w:pStyle w:val="TOC2"/>
        <w:tabs>
          <w:tab w:val="right" w:leader="dot" w:pos="9350"/>
        </w:tabs>
        <w:rPr>
          <w:rFonts w:asciiTheme="minorHAnsi" w:eastAsiaTheme="minorEastAsia" w:hAnsiTheme="minorHAnsi" w:cstheme="minorBidi"/>
          <w:noProof/>
          <w:szCs w:val="22"/>
        </w:rPr>
      </w:pPr>
      <w:hyperlink w:anchor="_Toc491175829" w:history="1">
        <w:r w:rsidR="00ED0B7F" w:rsidRPr="002F012F">
          <w:rPr>
            <w:rStyle w:val="Hyperlink"/>
            <w:noProof/>
          </w:rPr>
          <w:t>1.3 Measure Application Type</w:t>
        </w:r>
        <w:r w:rsidR="00ED0B7F">
          <w:rPr>
            <w:noProof/>
            <w:webHidden/>
          </w:rPr>
          <w:tab/>
        </w:r>
        <w:r w:rsidR="00ED0B7F">
          <w:rPr>
            <w:noProof/>
            <w:webHidden/>
          </w:rPr>
          <w:fldChar w:fldCharType="begin"/>
        </w:r>
        <w:r w:rsidR="00ED0B7F">
          <w:rPr>
            <w:noProof/>
            <w:webHidden/>
          </w:rPr>
          <w:instrText xml:space="preserve"> PAGEREF _Toc491175829 \h </w:instrText>
        </w:r>
        <w:r w:rsidR="00ED0B7F">
          <w:rPr>
            <w:noProof/>
            <w:webHidden/>
          </w:rPr>
        </w:r>
        <w:r w:rsidR="00ED0B7F">
          <w:rPr>
            <w:noProof/>
            <w:webHidden/>
          </w:rPr>
          <w:fldChar w:fldCharType="separate"/>
        </w:r>
        <w:r w:rsidR="006E5760">
          <w:rPr>
            <w:noProof/>
            <w:webHidden/>
          </w:rPr>
          <w:t>2</w:t>
        </w:r>
        <w:r w:rsidR="00ED0B7F">
          <w:rPr>
            <w:noProof/>
            <w:webHidden/>
          </w:rPr>
          <w:fldChar w:fldCharType="end"/>
        </w:r>
      </w:hyperlink>
    </w:p>
    <w:p w14:paraId="2BCA33AF" w14:textId="66F4EA28" w:rsidR="00ED0B7F" w:rsidRDefault="007C4CAE">
      <w:pPr>
        <w:pStyle w:val="TOC2"/>
        <w:tabs>
          <w:tab w:val="right" w:leader="dot" w:pos="9350"/>
        </w:tabs>
        <w:rPr>
          <w:rFonts w:asciiTheme="minorHAnsi" w:eastAsiaTheme="minorEastAsia" w:hAnsiTheme="minorHAnsi" w:cstheme="minorBidi"/>
          <w:noProof/>
          <w:szCs w:val="22"/>
        </w:rPr>
      </w:pPr>
      <w:hyperlink w:anchor="_Toc491175830" w:history="1">
        <w:r w:rsidR="00ED0B7F" w:rsidRPr="002F012F">
          <w:rPr>
            <w:rStyle w:val="Hyperlink"/>
            <w:noProof/>
          </w:rPr>
          <w:t>1.4 Product Base Case and Measure Case Data</w:t>
        </w:r>
        <w:r w:rsidR="00ED0B7F">
          <w:rPr>
            <w:noProof/>
            <w:webHidden/>
          </w:rPr>
          <w:tab/>
        </w:r>
        <w:r w:rsidR="00ED0B7F">
          <w:rPr>
            <w:noProof/>
            <w:webHidden/>
          </w:rPr>
          <w:fldChar w:fldCharType="begin"/>
        </w:r>
        <w:r w:rsidR="00ED0B7F">
          <w:rPr>
            <w:noProof/>
            <w:webHidden/>
          </w:rPr>
          <w:instrText xml:space="preserve"> PAGEREF _Toc491175830 \h </w:instrText>
        </w:r>
        <w:r w:rsidR="00ED0B7F">
          <w:rPr>
            <w:noProof/>
            <w:webHidden/>
          </w:rPr>
        </w:r>
        <w:r w:rsidR="00ED0B7F">
          <w:rPr>
            <w:noProof/>
            <w:webHidden/>
          </w:rPr>
          <w:fldChar w:fldCharType="separate"/>
        </w:r>
        <w:r w:rsidR="006E5760">
          <w:rPr>
            <w:noProof/>
            <w:webHidden/>
          </w:rPr>
          <w:t>3</w:t>
        </w:r>
        <w:r w:rsidR="00ED0B7F">
          <w:rPr>
            <w:noProof/>
            <w:webHidden/>
          </w:rPr>
          <w:fldChar w:fldCharType="end"/>
        </w:r>
      </w:hyperlink>
    </w:p>
    <w:p w14:paraId="072D7C98" w14:textId="7E6ECACC" w:rsidR="00ED0B7F" w:rsidRDefault="007C4CAE">
      <w:pPr>
        <w:pStyle w:val="TOC2"/>
        <w:tabs>
          <w:tab w:val="right" w:leader="dot" w:pos="9350"/>
        </w:tabs>
        <w:rPr>
          <w:rFonts w:asciiTheme="minorHAnsi" w:eastAsiaTheme="minorEastAsia" w:hAnsiTheme="minorHAnsi" w:cstheme="minorBidi"/>
          <w:noProof/>
          <w:szCs w:val="22"/>
        </w:rPr>
      </w:pPr>
      <w:hyperlink w:anchor="_Toc491175831" w:history="1">
        <w:r w:rsidR="00ED0B7F" w:rsidRPr="002F012F">
          <w:rPr>
            <w:rStyle w:val="Hyperlink"/>
            <w:noProof/>
          </w:rPr>
          <w:t>1.4.1 DEER Base Case and Measure Case Information</w:t>
        </w:r>
        <w:r w:rsidR="00ED0B7F">
          <w:rPr>
            <w:noProof/>
            <w:webHidden/>
          </w:rPr>
          <w:tab/>
        </w:r>
        <w:r w:rsidR="00ED0B7F">
          <w:rPr>
            <w:noProof/>
            <w:webHidden/>
          </w:rPr>
          <w:fldChar w:fldCharType="begin"/>
        </w:r>
        <w:r w:rsidR="00ED0B7F">
          <w:rPr>
            <w:noProof/>
            <w:webHidden/>
          </w:rPr>
          <w:instrText xml:space="preserve"> PAGEREF _Toc491175831 \h </w:instrText>
        </w:r>
        <w:r w:rsidR="00ED0B7F">
          <w:rPr>
            <w:noProof/>
            <w:webHidden/>
          </w:rPr>
        </w:r>
        <w:r w:rsidR="00ED0B7F">
          <w:rPr>
            <w:noProof/>
            <w:webHidden/>
          </w:rPr>
          <w:fldChar w:fldCharType="separate"/>
        </w:r>
        <w:r w:rsidR="006E5760">
          <w:rPr>
            <w:noProof/>
            <w:webHidden/>
          </w:rPr>
          <w:t>3</w:t>
        </w:r>
        <w:r w:rsidR="00ED0B7F">
          <w:rPr>
            <w:noProof/>
            <w:webHidden/>
          </w:rPr>
          <w:fldChar w:fldCharType="end"/>
        </w:r>
      </w:hyperlink>
    </w:p>
    <w:p w14:paraId="771199A6" w14:textId="7BF0B602" w:rsidR="00ED0B7F" w:rsidRDefault="007C4CAE">
      <w:pPr>
        <w:pStyle w:val="TOC2"/>
        <w:tabs>
          <w:tab w:val="right" w:leader="dot" w:pos="9350"/>
        </w:tabs>
        <w:rPr>
          <w:rFonts w:asciiTheme="minorHAnsi" w:eastAsiaTheme="minorEastAsia" w:hAnsiTheme="minorHAnsi" w:cstheme="minorBidi"/>
          <w:noProof/>
          <w:szCs w:val="22"/>
        </w:rPr>
      </w:pPr>
      <w:hyperlink w:anchor="_Toc491175832" w:history="1">
        <w:r w:rsidR="00ED0B7F" w:rsidRPr="002F012F">
          <w:rPr>
            <w:rStyle w:val="Hyperlink"/>
            <w:noProof/>
          </w:rPr>
          <w:t>1.4.2 Codes &amp; Standards Requirements Base Case and Measure Information</w:t>
        </w:r>
        <w:r w:rsidR="00ED0B7F">
          <w:rPr>
            <w:noProof/>
            <w:webHidden/>
          </w:rPr>
          <w:tab/>
        </w:r>
        <w:r w:rsidR="00ED0B7F">
          <w:rPr>
            <w:noProof/>
            <w:webHidden/>
          </w:rPr>
          <w:fldChar w:fldCharType="begin"/>
        </w:r>
        <w:r w:rsidR="00ED0B7F">
          <w:rPr>
            <w:noProof/>
            <w:webHidden/>
          </w:rPr>
          <w:instrText xml:space="preserve"> PAGEREF _Toc491175832 \h </w:instrText>
        </w:r>
        <w:r w:rsidR="00ED0B7F">
          <w:rPr>
            <w:noProof/>
            <w:webHidden/>
          </w:rPr>
        </w:r>
        <w:r w:rsidR="00ED0B7F">
          <w:rPr>
            <w:noProof/>
            <w:webHidden/>
          </w:rPr>
          <w:fldChar w:fldCharType="separate"/>
        </w:r>
        <w:r w:rsidR="006E5760">
          <w:rPr>
            <w:noProof/>
            <w:webHidden/>
          </w:rPr>
          <w:t>3</w:t>
        </w:r>
        <w:r w:rsidR="00ED0B7F">
          <w:rPr>
            <w:noProof/>
            <w:webHidden/>
          </w:rPr>
          <w:fldChar w:fldCharType="end"/>
        </w:r>
      </w:hyperlink>
    </w:p>
    <w:p w14:paraId="79406B9D" w14:textId="0290CA27" w:rsidR="00ED0B7F" w:rsidRDefault="007C4CAE">
      <w:pPr>
        <w:pStyle w:val="TOC2"/>
        <w:tabs>
          <w:tab w:val="right" w:leader="dot" w:pos="9350"/>
        </w:tabs>
        <w:rPr>
          <w:rFonts w:asciiTheme="minorHAnsi" w:eastAsiaTheme="minorEastAsia" w:hAnsiTheme="minorHAnsi" w:cstheme="minorBidi"/>
          <w:noProof/>
          <w:szCs w:val="22"/>
        </w:rPr>
      </w:pPr>
      <w:hyperlink w:anchor="_Toc491175833" w:history="1">
        <w:r w:rsidR="00ED0B7F" w:rsidRPr="002F012F">
          <w:rPr>
            <w:rStyle w:val="Hyperlink"/>
            <w:noProof/>
          </w:rPr>
          <w:t>1.4.3 EM&amp;V, Market Potential, and Other Studies – Base Case and Measure Case Information</w:t>
        </w:r>
        <w:r w:rsidR="00ED0B7F">
          <w:rPr>
            <w:noProof/>
            <w:webHidden/>
          </w:rPr>
          <w:tab/>
        </w:r>
        <w:r w:rsidR="00ED0B7F">
          <w:rPr>
            <w:noProof/>
            <w:webHidden/>
          </w:rPr>
          <w:fldChar w:fldCharType="begin"/>
        </w:r>
        <w:r w:rsidR="00ED0B7F">
          <w:rPr>
            <w:noProof/>
            <w:webHidden/>
          </w:rPr>
          <w:instrText xml:space="preserve"> PAGEREF _Toc491175833 \h </w:instrText>
        </w:r>
        <w:r w:rsidR="00ED0B7F">
          <w:rPr>
            <w:noProof/>
            <w:webHidden/>
          </w:rPr>
        </w:r>
        <w:r w:rsidR="00ED0B7F">
          <w:rPr>
            <w:noProof/>
            <w:webHidden/>
          </w:rPr>
          <w:fldChar w:fldCharType="separate"/>
        </w:r>
        <w:r w:rsidR="006E5760">
          <w:rPr>
            <w:noProof/>
            <w:webHidden/>
          </w:rPr>
          <w:t>4</w:t>
        </w:r>
        <w:r w:rsidR="00ED0B7F">
          <w:rPr>
            <w:noProof/>
            <w:webHidden/>
          </w:rPr>
          <w:fldChar w:fldCharType="end"/>
        </w:r>
      </w:hyperlink>
    </w:p>
    <w:p w14:paraId="376D5F0C" w14:textId="3B131BC1" w:rsidR="00ED0B7F" w:rsidRDefault="007C4CAE">
      <w:pPr>
        <w:pStyle w:val="TOC2"/>
        <w:tabs>
          <w:tab w:val="right" w:leader="dot" w:pos="9350"/>
        </w:tabs>
        <w:rPr>
          <w:rFonts w:asciiTheme="minorHAnsi" w:eastAsiaTheme="minorEastAsia" w:hAnsiTheme="minorHAnsi" w:cstheme="minorBidi"/>
          <w:noProof/>
          <w:szCs w:val="22"/>
        </w:rPr>
      </w:pPr>
      <w:hyperlink w:anchor="_Toc491175834" w:history="1">
        <w:r w:rsidR="00ED0B7F" w:rsidRPr="002F012F">
          <w:rPr>
            <w:rStyle w:val="Hyperlink"/>
            <w:noProof/>
          </w:rPr>
          <w:t>1.4.4 Assumptions and Calculations from other sources—Base and Measure Cases</w:t>
        </w:r>
        <w:r w:rsidR="00ED0B7F">
          <w:rPr>
            <w:noProof/>
            <w:webHidden/>
          </w:rPr>
          <w:tab/>
        </w:r>
        <w:r w:rsidR="00ED0B7F">
          <w:rPr>
            <w:noProof/>
            <w:webHidden/>
          </w:rPr>
          <w:fldChar w:fldCharType="begin"/>
        </w:r>
        <w:r w:rsidR="00ED0B7F">
          <w:rPr>
            <w:noProof/>
            <w:webHidden/>
          </w:rPr>
          <w:instrText xml:space="preserve"> PAGEREF _Toc491175834 \h </w:instrText>
        </w:r>
        <w:r w:rsidR="00ED0B7F">
          <w:rPr>
            <w:noProof/>
            <w:webHidden/>
          </w:rPr>
        </w:r>
        <w:r w:rsidR="00ED0B7F">
          <w:rPr>
            <w:noProof/>
            <w:webHidden/>
          </w:rPr>
          <w:fldChar w:fldCharType="separate"/>
        </w:r>
        <w:r w:rsidR="006E5760">
          <w:rPr>
            <w:noProof/>
            <w:webHidden/>
          </w:rPr>
          <w:t>4</w:t>
        </w:r>
        <w:r w:rsidR="00ED0B7F">
          <w:rPr>
            <w:noProof/>
            <w:webHidden/>
          </w:rPr>
          <w:fldChar w:fldCharType="end"/>
        </w:r>
      </w:hyperlink>
    </w:p>
    <w:p w14:paraId="79E41052" w14:textId="11F1C2AE" w:rsidR="00ED0B7F" w:rsidRDefault="007C4CAE">
      <w:pPr>
        <w:pStyle w:val="TOC1"/>
        <w:tabs>
          <w:tab w:val="right" w:leader="dot" w:pos="9350"/>
        </w:tabs>
        <w:rPr>
          <w:rFonts w:asciiTheme="minorHAnsi" w:eastAsiaTheme="minorEastAsia" w:hAnsiTheme="minorHAnsi" w:cstheme="minorBidi"/>
          <w:noProof/>
          <w:szCs w:val="22"/>
        </w:rPr>
      </w:pPr>
      <w:hyperlink w:anchor="_Toc491175835" w:history="1">
        <w:r w:rsidR="00ED0B7F" w:rsidRPr="002F012F">
          <w:rPr>
            <w:rStyle w:val="Hyperlink"/>
            <w:noProof/>
          </w:rPr>
          <w:t>Section 2. Calculation Methods</w:t>
        </w:r>
        <w:r w:rsidR="00ED0B7F">
          <w:rPr>
            <w:noProof/>
            <w:webHidden/>
          </w:rPr>
          <w:tab/>
        </w:r>
        <w:r w:rsidR="00ED0B7F">
          <w:rPr>
            <w:noProof/>
            <w:webHidden/>
          </w:rPr>
          <w:fldChar w:fldCharType="begin"/>
        </w:r>
        <w:r w:rsidR="00ED0B7F">
          <w:rPr>
            <w:noProof/>
            <w:webHidden/>
          </w:rPr>
          <w:instrText xml:space="preserve"> PAGEREF _Toc491175835 \h </w:instrText>
        </w:r>
        <w:r w:rsidR="00ED0B7F">
          <w:rPr>
            <w:noProof/>
            <w:webHidden/>
          </w:rPr>
        </w:r>
        <w:r w:rsidR="00ED0B7F">
          <w:rPr>
            <w:noProof/>
            <w:webHidden/>
          </w:rPr>
          <w:fldChar w:fldCharType="separate"/>
        </w:r>
        <w:r w:rsidR="006E5760">
          <w:rPr>
            <w:noProof/>
            <w:webHidden/>
          </w:rPr>
          <w:t>5</w:t>
        </w:r>
        <w:r w:rsidR="00ED0B7F">
          <w:rPr>
            <w:noProof/>
            <w:webHidden/>
          </w:rPr>
          <w:fldChar w:fldCharType="end"/>
        </w:r>
      </w:hyperlink>
    </w:p>
    <w:p w14:paraId="3D530623" w14:textId="2461F91C" w:rsidR="00ED0B7F" w:rsidRDefault="007C4CAE">
      <w:pPr>
        <w:pStyle w:val="TOC2"/>
        <w:tabs>
          <w:tab w:val="right" w:leader="dot" w:pos="9350"/>
        </w:tabs>
        <w:rPr>
          <w:rFonts w:asciiTheme="minorHAnsi" w:eastAsiaTheme="minorEastAsia" w:hAnsiTheme="minorHAnsi" w:cstheme="minorBidi"/>
          <w:noProof/>
          <w:szCs w:val="22"/>
        </w:rPr>
      </w:pPr>
      <w:hyperlink w:anchor="_Toc491175836" w:history="1">
        <w:r w:rsidR="00ED0B7F" w:rsidRPr="002F012F">
          <w:rPr>
            <w:rStyle w:val="Hyperlink"/>
            <w:noProof/>
          </w:rPr>
          <w:t>2.1 Electric Energy Savings Estimation Methodologies</w:t>
        </w:r>
        <w:r w:rsidR="00ED0B7F">
          <w:rPr>
            <w:noProof/>
            <w:webHidden/>
          </w:rPr>
          <w:tab/>
        </w:r>
        <w:r w:rsidR="00ED0B7F">
          <w:rPr>
            <w:noProof/>
            <w:webHidden/>
          </w:rPr>
          <w:fldChar w:fldCharType="begin"/>
        </w:r>
        <w:r w:rsidR="00ED0B7F">
          <w:rPr>
            <w:noProof/>
            <w:webHidden/>
          </w:rPr>
          <w:instrText xml:space="preserve"> PAGEREF _Toc491175836 \h </w:instrText>
        </w:r>
        <w:r w:rsidR="00ED0B7F">
          <w:rPr>
            <w:noProof/>
            <w:webHidden/>
          </w:rPr>
        </w:r>
        <w:r w:rsidR="00ED0B7F">
          <w:rPr>
            <w:noProof/>
            <w:webHidden/>
          </w:rPr>
          <w:fldChar w:fldCharType="separate"/>
        </w:r>
        <w:r w:rsidR="006E5760">
          <w:rPr>
            <w:noProof/>
            <w:webHidden/>
          </w:rPr>
          <w:t>5</w:t>
        </w:r>
        <w:r w:rsidR="00ED0B7F">
          <w:rPr>
            <w:noProof/>
            <w:webHidden/>
          </w:rPr>
          <w:fldChar w:fldCharType="end"/>
        </w:r>
      </w:hyperlink>
    </w:p>
    <w:p w14:paraId="351F395E" w14:textId="67E7F78C" w:rsidR="00ED0B7F" w:rsidRDefault="007C4CAE">
      <w:pPr>
        <w:pStyle w:val="TOC2"/>
        <w:tabs>
          <w:tab w:val="right" w:leader="dot" w:pos="9350"/>
        </w:tabs>
        <w:rPr>
          <w:rFonts w:asciiTheme="minorHAnsi" w:eastAsiaTheme="minorEastAsia" w:hAnsiTheme="minorHAnsi" w:cstheme="minorBidi"/>
          <w:noProof/>
          <w:szCs w:val="22"/>
        </w:rPr>
      </w:pPr>
      <w:hyperlink w:anchor="_Toc491175837" w:history="1">
        <w:r w:rsidR="00ED0B7F" w:rsidRPr="002F012F">
          <w:rPr>
            <w:rStyle w:val="Hyperlink"/>
            <w:noProof/>
          </w:rPr>
          <w:t>2.2. Demand Reduction Estimation Methodologies</w:t>
        </w:r>
        <w:r w:rsidR="00ED0B7F">
          <w:rPr>
            <w:noProof/>
            <w:webHidden/>
          </w:rPr>
          <w:tab/>
        </w:r>
        <w:r w:rsidR="00ED0B7F">
          <w:rPr>
            <w:noProof/>
            <w:webHidden/>
          </w:rPr>
          <w:fldChar w:fldCharType="begin"/>
        </w:r>
        <w:r w:rsidR="00ED0B7F">
          <w:rPr>
            <w:noProof/>
            <w:webHidden/>
          </w:rPr>
          <w:instrText xml:space="preserve"> PAGEREF _Toc491175837 \h </w:instrText>
        </w:r>
        <w:r w:rsidR="00ED0B7F">
          <w:rPr>
            <w:noProof/>
            <w:webHidden/>
          </w:rPr>
        </w:r>
        <w:r w:rsidR="00ED0B7F">
          <w:rPr>
            <w:noProof/>
            <w:webHidden/>
          </w:rPr>
          <w:fldChar w:fldCharType="separate"/>
        </w:r>
        <w:r w:rsidR="006E5760">
          <w:rPr>
            <w:noProof/>
            <w:webHidden/>
          </w:rPr>
          <w:t>6</w:t>
        </w:r>
        <w:r w:rsidR="00ED0B7F">
          <w:rPr>
            <w:noProof/>
            <w:webHidden/>
          </w:rPr>
          <w:fldChar w:fldCharType="end"/>
        </w:r>
      </w:hyperlink>
    </w:p>
    <w:p w14:paraId="09E89E06" w14:textId="03D42354" w:rsidR="00ED0B7F" w:rsidRDefault="007C4CAE">
      <w:pPr>
        <w:pStyle w:val="TOC2"/>
        <w:tabs>
          <w:tab w:val="right" w:leader="dot" w:pos="9350"/>
        </w:tabs>
        <w:rPr>
          <w:rFonts w:asciiTheme="minorHAnsi" w:eastAsiaTheme="minorEastAsia" w:hAnsiTheme="minorHAnsi" w:cstheme="minorBidi"/>
          <w:noProof/>
          <w:szCs w:val="22"/>
        </w:rPr>
      </w:pPr>
      <w:hyperlink w:anchor="_Toc491175838" w:history="1">
        <w:r w:rsidR="00ED0B7F" w:rsidRPr="002F012F">
          <w:rPr>
            <w:rStyle w:val="Hyperlink"/>
            <w:noProof/>
          </w:rPr>
          <w:t>2.3. Gas Energy Savings Estimation Methodologies</w:t>
        </w:r>
        <w:r w:rsidR="00ED0B7F">
          <w:rPr>
            <w:noProof/>
            <w:webHidden/>
          </w:rPr>
          <w:tab/>
        </w:r>
        <w:r w:rsidR="00ED0B7F">
          <w:rPr>
            <w:noProof/>
            <w:webHidden/>
          </w:rPr>
          <w:fldChar w:fldCharType="begin"/>
        </w:r>
        <w:r w:rsidR="00ED0B7F">
          <w:rPr>
            <w:noProof/>
            <w:webHidden/>
          </w:rPr>
          <w:instrText xml:space="preserve"> PAGEREF _Toc491175838 \h </w:instrText>
        </w:r>
        <w:r w:rsidR="00ED0B7F">
          <w:rPr>
            <w:noProof/>
            <w:webHidden/>
          </w:rPr>
        </w:r>
        <w:r w:rsidR="00ED0B7F">
          <w:rPr>
            <w:noProof/>
            <w:webHidden/>
          </w:rPr>
          <w:fldChar w:fldCharType="separate"/>
        </w:r>
        <w:r w:rsidR="006E5760">
          <w:rPr>
            <w:noProof/>
            <w:webHidden/>
          </w:rPr>
          <w:t>6</w:t>
        </w:r>
        <w:r w:rsidR="00ED0B7F">
          <w:rPr>
            <w:noProof/>
            <w:webHidden/>
          </w:rPr>
          <w:fldChar w:fldCharType="end"/>
        </w:r>
      </w:hyperlink>
    </w:p>
    <w:p w14:paraId="3C02FB9C" w14:textId="3771C8DF" w:rsidR="00ED0B7F" w:rsidRPr="00ED0B7F" w:rsidRDefault="007C4CAE" w:rsidP="00ED0B7F">
      <w:pPr>
        <w:pStyle w:val="TOC1"/>
        <w:tabs>
          <w:tab w:val="right" w:leader="dot" w:pos="9350"/>
        </w:tabs>
        <w:ind w:firstLine="240"/>
        <w:rPr>
          <w:rFonts w:asciiTheme="minorHAnsi" w:eastAsiaTheme="minorEastAsia" w:hAnsiTheme="minorHAnsi" w:cstheme="minorBidi"/>
          <w:noProof/>
          <w:szCs w:val="22"/>
        </w:rPr>
      </w:pPr>
      <w:hyperlink w:anchor="_Toc491175843" w:history="1">
        <w:r w:rsidR="00ED0B7F" w:rsidRPr="00ED0B7F">
          <w:rPr>
            <w:rStyle w:val="Hyperlink"/>
            <w:noProof/>
          </w:rPr>
          <w:t>2.4 Water Savings Estimation Methodologies</w:t>
        </w:r>
        <w:r w:rsidR="00ED0B7F" w:rsidRPr="00ED0B7F">
          <w:rPr>
            <w:noProof/>
            <w:webHidden/>
          </w:rPr>
          <w:tab/>
        </w:r>
        <w:r w:rsidR="00ED0B7F" w:rsidRPr="00ED0B7F">
          <w:rPr>
            <w:noProof/>
            <w:webHidden/>
          </w:rPr>
          <w:fldChar w:fldCharType="begin"/>
        </w:r>
        <w:r w:rsidR="00ED0B7F" w:rsidRPr="00ED0B7F">
          <w:rPr>
            <w:noProof/>
            <w:webHidden/>
          </w:rPr>
          <w:instrText xml:space="preserve"> PAGEREF _Toc491175843 \h </w:instrText>
        </w:r>
        <w:r w:rsidR="00ED0B7F" w:rsidRPr="00ED0B7F">
          <w:rPr>
            <w:noProof/>
            <w:webHidden/>
          </w:rPr>
        </w:r>
        <w:r w:rsidR="00ED0B7F" w:rsidRPr="00ED0B7F">
          <w:rPr>
            <w:noProof/>
            <w:webHidden/>
          </w:rPr>
          <w:fldChar w:fldCharType="separate"/>
        </w:r>
        <w:r w:rsidR="006E5760">
          <w:rPr>
            <w:noProof/>
            <w:webHidden/>
          </w:rPr>
          <w:t>10</w:t>
        </w:r>
        <w:r w:rsidR="00ED0B7F" w:rsidRPr="00ED0B7F">
          <w:rPr>
            <w:noProof/>
            <w:webHidden/>
          </w:rPr>
          <w:fldChar w:fldCharType="end"/>
        </w:r>
      </w:hyperlink>
    </w:p>
    <w:p w14:paraId="597B68AF" w14:textId="795C5321" w:rsidR="00ED0B7F" w:rsidRPr="00ED0B7F" w:rsidRDefault="007C4CAE" w:rsidP="00ED0B7F">
      <w:pPr>
        <w:pStyle w:val="TOC1"/>
        <w:tabs>
          <w:tab w:val="right" w:leader="dot" w:pos="9350"/>
        </w:tabs>
        <w:ind w:firstLine="240"/>
        <w:rPr>
          <w:rFonts w:asciiTheme="minorHAnsi" w:eastAsiaTheme="minorEastAsia" w:hAnsiTheme="minorHAnsi" w:cstheme="minorBidi"/>
          <w:noProof/>
          <w:szCs w:val="22"/>
        </w:rPr>
      </w:pPr>
      <w:hyperlink w:anchor="_Toc491175844" w:history="1">
        <w:r w:rsidR="00ED0B7F" w:rsidRPr="00ED0B7F">
          <w:rPr>
            <w:rStyle w:val="Hyperlink"/>
            <w:noProof/>
          </w:rPr>
          <w:t>2.5 SoCalGas Energy Savings Estimation Methodology</w:t>
        </w:r>
        <w:r w:rsidR="00ED0B7F" w:rsidRPr="00ED0B7F">
          <w:rPr>
            <w:noProof/>
            <w:webHidden/>
          </w:rPr>
          <w:tab/>
        </w:r>
        <w:r w:rsidR="00ED0B7F" w:rsidRPr="00ED0B7F">
          <w:rPr>
            <w:noProof/>
            <w:webHidden/>
          </w:rPr>
          <w:fldChar w:fldCharType="begin"/>
        </w:r>
        <w:r w:rsidR="00ED0B7F" w:rsidRPr="00ED0B7F">
          <w:rPr>
            <w:noProof/>
            <w:webHidden/>
          </w:rPr>
          <w:instrText xml:space="preserve"> PAGEREF _Toc491175844 \h </w:instrText>
        </w:r>
        <w:r w:rsidR="00ED0B7F" w:rsidRPr="00ED0B7F">
          <w:rPr>
            <w:noProof/>
            <w:webHidden/>
          </w:rPr>
        </w:r>
        <w:r w:rsidR="00ED0B7F" w:rsidRPr="00ED0B7F">
          <w:rPr>
            <w:noProof/>
            <w:webHidden/>
          </w:rPr>
          <w:fldChar w:fldCharType="separate"/>
        </w:r>
        <w:r w:rsidR="006E5760">
          <w:rPr>
            <w:noProof/>
            <w:webHidden/>
          </w:rPr>
          <w:t>11</w:t>
        </w:r>
        <w:r w:rsidR="00ED0B7F" w:rsidRPr="00ED0B7F">
          <w:rPr>
            <w:noProof/>
            <w:webHidden/>
          </w:rPr>
          <w:fldChar w:fldCharType="end"/>
        </w:r>
      </w:hyperlink>
    </w:p>
    <w:p w14:paraId="6E6BF9AF" w14:textId="18917581" w:rsidR="00ED0B7F" w:rsidRPr="00ED0B7F" w:rsidRDefault="007C4CAE">
      <w:pPr>
        <w:pStyle w:val="TOC1"/>
        <w:tabs>
          <w:tab w:val="right" w:leader="dot" w:pos="9350"/>
        </w:tabs>
        <w:rPr>
          <w:rFonts w:asciiTheme="minorHAnsi" w:eastAsiaTheme="minorEastAsia" w:hAnsiTheme="minorHAnsi" w:cstheme="minorBidi"/>
          <w:noProof/>
          <w:szCs w:val="22"/>
        </w:rPr>
      </w:pPr>
      <w:hyperlink w:anchor="_Toc491175845" w:history="1">
        <w:r w:rsidR="00ED0B7F" w:rsidRPr="00ED0B7F">
          <w:rPr>
            <w:rStyle w:val="Hyperlink"/>
            <w:noProof/>
          </w:rPr>
          <w:t>Section 3. Load Shapes</w:t>
        </w:r>
        <w:r w:rsidR="00ED0B7F" w:rsidRPr="00ED0B7F">
          <w:rPr>
            <w:noProof/>
            <w:webHidden/>
          </w:rPr>
          <w:tab/>
        </w:r>
        <w:r w:rsidR="00ED0B7F" w:rsidRPr="00ED0B7F">
          <w:rPr>
            <w:noProof/>
            <w:webHidden/>
          </w:rPr>
          <w:fldChar w:fldCharType="begin"/>
        </w:r>
        <w:r w:rsidR="00ED0B7F" w:rsidRPr="00ED0B7F">
          <w:rPr>
            <w:noProof/>
            <w:webHidden/>
          </w:rPr>
          <w:instrText xml:space="preserve"> PAGEREF _Toc491175845 \h </w:instrText>
        </w:r>
        <w:r w:rsidR="00ED0B7F" w:rsidRPr="00ED0B7F">
          <w:rPr>
            <w:noProof/>
            <w:webHidden/>
          </w:rPr>
        </w:r>
        <w:r w:rsidR="00ED0B7F" w:rsidRPr="00ED0B7F">
          <w:rPr>
            <w:noProof/>
            <w:webHidden/>
          </w:rPr>
          <w:fldChar w:fldCharType="separate"/>
        </w:r>
        <w:r w:rsidR="006E5760">
          <w:rPr>
            <w:noProof/>
            <w:webHidden/>
          </w:rPr>
          <w:t>11</w:t>
        </w:r>
        <w:r w:rsidR="00ED0B7F" w:rsidRPr="00ED0B7F">
          <w:rPr>
            <w:noProof/>
            <w:webHidden/>
          </w:rPr>
          <w:fldChar w:fldCharType="end"/>
        </w:r>
      </w:hyperlink>
    </w:p>
    <w:p w14:paraId="3F568EEF" w14:textId="15823212" w:rsidR="00ED0B7F" w:rsidRDefault="007C4CAE">
      <w:pPr>
        <w:pStyle w:val="TOC2"/>
        <w:tabs>
          <w:tab w:val="right" w:leader="dot" w:pos="9350"/>
        </w:tabs>
        <w:rPr>
          <w:rFonts w:asciiTheme="minorHAnsi" w:eastAsiaTheme="minorEastAsia" w:hAnsiTheme="minorHAnsi" w:cstheme="minorBidi"/>
          <w:noProof/>
          <w:szCs w:val="22"/>
        </w:rPr>
      </w:pPr>
      <w:hyperlink w:anchor="_Toc491175846" w:history="1">
        <w:r w:rsidR="00ED0B7F" w:rsidRPr="002F012F">
          <w:rPr>
            <w:rStyle w:val="Hyperlink"/>
            <w:noProof/>
          </w:rPr>
          <w:t>3.1 Base Case Load Shapes</w:t>
        </w:r>
        <w:r w:rsidR="00ED0B7F">
          <w:rPr>
            <w:noProof/>
            <w:webHidden/>
          </w:rPr>
          <w:tab/>
        </w:r>
        <w:r w:rsidR="00ED0B7F">
          <w:rPr>
            <w:noProof/>
            <w:webHidden/>
          </w:rPr>
          <w:fldChar w:fldCharType="begin"/>
        </w:r>
        <w:r w:rsidR="00ED0B7F">
          <w:rPr>
            <w:noProof/>
            <w:webHidden/>
          </w:rPr>
          <w:instrText xml:space="preserve"> PAGEREF _Toc491175846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76B63113" w14:textId="439ACF58" w:rsidR="00ED0B7F" w:rsidRDefault="007C4CAE">
      <w:pPr>
        <w:pStyle w:val="TOC2"/>
        <w:tabs>
          <w:tab w:val="right" w:leader="dot" w:pos="9350"/>
        </w:tabs>
        <w:rPr>
          <w:rFonts w:asciiTheme="minorHAnsi" w:eastAsiaTheme="minorEastAsia" w:hAnsiTheme="minorHAnsi" w:cstheme="minorBidi"/>
          <w:noProof/>
          <w:szCs w:val="22"/>
        </w:rPr>
      </w:pPr>
      <w:hyperlink w:anchor="_Toc491175847" w:history="1">
        <w:r w:rsidR="00ED0B7F" w:rsidRPr="002F012F">
          <w:rPr>
            <w:rStyle w:val="Hyperlink"/>
            <w:noProof/>
          </w:rPr>
          <w:t>3.2 Measure Load Shapes</w:t>
        </w:r>
        <w:r w:rsidR="00ED0B7F">
          <w:rPr>
            <w:noProof/>
            <w:webHidden/>
          </w:rPr>
          <w:tab/>
        </w:r>
        <w:r w:rsidR="00ED0B7F">
          <w:rPr>
            <w:noProof/>
            <w:webHidden/>
          </w:rPr>
          <w:fldChar w:fldCharType="begin"/>
        </w:r>
        <w:r w:rsidR="00ED0B7F">
          <w:rPr>
            <w:noProof/>
            <w:webHidden/>
          </w:rPr>
          <w:instrText xml:space="preserve"> PAGEREF _Toc491175847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4685A654" w14:textId="30F52A00" w:rsidR="00ED0B7F" w:rsidRDefault="007C4CAE">
      <w:pPr>
        <w:pStyle w:val="TOC1"/>
        <w:tabs>
          <w:tab w:val="right" w:leader="dot" w:pos="9350"/>
        </w:tabs>
        <w:rPr>
          <w:rFonts w:asciiTheme="minorHAnsi" w:eastAsiaTheme="minorEastAsia" w:hAnsiTheme="minorHAnsi" w:cstheme="minorBidi"/>
          <w:noProof/>
          <w:szCs w:val="22"/>
        </w:rPr>
      </w:pPr>
      <w:hyperlink w:anchor="_Toc491175848" w:history="1">
        <w:r w:rsidR="00ED0B7F" w:rsidRPr="002F012F">
          <w:rPr>
            <w:rStyle w:val="Hyperlink"/>
            <w:noProof/>
          </w:rPr>
          <w:t>Section 4. Base Case &amp; Measure Costs</w:t>
        </w:r>
        <w:r w:rsidR="00ED0B7F">
          <w:rPr>
            <w:noProof/>
            <w:webHidden/>
          </w:rPr>
          <w:tab/>
        </w:r>
        <w:r w:rsidR="00ED0B7F">
          <w:rPr>
            <w:noProof/>
            <w:webHidden/>
          </w:rPr>
          <w:fldChar w:fldCharType="begin"/>
        </w:r>
        <w:r w:rsidR="00ED0B7F">
          <w:rPr>
            <w:noProof/>
            <w:webHidden/>
          </w:rPr>
          <w:instrText xml:space="preserve"> PAGEREF _Toc491175848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104ACB3F" w14:textId="2696789C" w:rsidR="00ED0B7F" w:rsidRDefault="007C4CAE">
      <w:pPr>
        <w:pStyle w:val="TOC2"/>
        <w:tabs>
          <w:tab w:val="right" w:leader="dot" w:pos="9350"/>
        </w:tabs>
        <w:rPr>
          <w:rFonts w:asciiTheme="minorHAnsi" w:eastAsiaTheme="minorEastAsia" w:hAnsiTheme="minorHAnsi" w:cstheme="minorBidi"/>
          <w:noProof/>
          <w:szCs w:val="22"/>
        </w:rPr>
      </w:pPr>
      <w:hyperlink w:anchor="_Toc491175849" w:history="1">
        <w:r w:rsidR="00ED0B7F" w:rsidRPr="002F012F">
          <w:rPr>
            <w:rStyle w:val="Hyperlink"/>
            <w:noProof/>
          </w:rPr>
          <w:t>4.1 Base Case(s) Costs</w:t>
        </w:r>
        <w:r w:rsidR="00ED0B7F">
          <w:rPr>
            <w:noProof/>
            <w:webHidden/>
          </w:rPr>
          <w:tab/>
        </w:r>
        <w:r w:rsidR="00ED0B7F">
          <w:rPr>
            <w:noProof/>
            <w:webHidden/>
          </w:rPr>
          <w:fldChar w:fldCharType="begin"/>
        </w:r>
        <w:r w:rsidR="00ED0B7F">
          <w:rPr>
            <w:noProof/>
            <w:webHidden/>
          </w:rPr>
          <w:instrText xml:space="preserve"> PAGEREF _Toc491175849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2063E47D" w14:textId="4496506F" w:rsidR="00ED0B7F" w:rsidRDefault="007C4CAE">
      <w:pPr>
        <w:pStyle w:val="TOC2"/>
        <w:tabs>
          <w:tab w:val="right" w:leader="dot" w:pos="9350"/>
        </w:tabs>
        <w:rPr>
          <w:rFonts w:asciiTheme="minorHAnsi" w:eastAsiaTheme="minorEastAsia" w:hAnsiTheme="minorHAnsi" w:cstheme="minorBidi"/>
          <w:noProof/>
          <w:szCs w:val="22"/>
        </w:rPr>
      </w:pPr>
      <w:hyperlink w:anchor="_Toc491175850" w:history="1">
        <w:r w:rsidR="00ED0B7F" w:rsidRPr="002F012F">
          <w:rPr>
            <w:rStyle w:val="Hyperlink"/>
            <w:noProof/>
          </w:rPr>
          <w:t>4.2 Measure Case Costs</w:t>
        </w:r>
        <w:r w:rsidR="00ED0B7F">
          <w:rPr>
            <w:noProof/>
            <w:webHidden/>
          </w:rPr>
          <w:tab/>
        </w:r>
        <w:r w:rsidR="00ED0B7F">
          <w:rPr>
            <w:noProof/>
            <w:webHidden/>
          </w:rPr>
          <w:fldChar w:fldCharType="begin"/>
        </w:r>
        <w:r w:rsidR="00ED0B7F">
          <w:rPr>
            <w:noProof/>
            <w:webHidden/>
          </w:rPr>
          <w:instrText xml:space="preserve"> PAGEREF _Toc491175850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33415685" w14:textId="4108D044" w:rsidR="00ED0B7F" w:rsidRDefault="007C4CAE">
      <w:pPr>
        <w:pStyle w:val="TOC2"/>
        <w:tabs>
          <w:tab w:val="right" w:leader="dot" w:pos="9350"/>
        </w:tabs>
        <w:rPr>
          <w:rFonts w:asciiTheme="minorHAnsi" w:eastAsiaTheme="minorEastAsia" w:hAnsiTheme="minorHAnsi" w:cstheme="minorBidi"/>
          <w:noProof/>
          <w:szCs w:val="22"/>
        </w:rPr>
      </w:pPr>
      <w:hyperlink w:anchor="_Toc491175851" w:history="1">
        <w:r w:rsidR="00ED0B7F" w:rsidRPr="002F012F">
          <w:rPr>
            <w:rStyle w:val="Hyperlink"/>
            <w:noProof/>
          </w:rPr>
          <w:t>4.3 Incremental &amp; Full Measure Costs</w:t>
        </w:r>
        <w:r w:rsidR="00ED0B7F">
          <w:rPr>
            <w:noProof/>
            <w:webHidden/>
          </w:rPr>
          <w:tab/>
        </w:r>
        <w:r w:rsidR="00ED0B7F">
          <w:rPr>
            <w:noProof/>
            <w:webHidden/>
          </w:rPr>
          <w:fldChar w:fldCharType="begin"/>
        </w:r>
        <w:r w:rsidR="00ED0B7F">
          <w:rPr>
            <w:noProof/>
            <w:webHidden/>
          </w:rPr>
          <w:instrText xml:space="preserve"> PAGEREF _Toc491175851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6CA0EE40" w14:textId="172CFC12" w:rsidR="00ED0B7F" w:rsidRDefault="007C4CAE">
      <w:pPr>
        <w:pStyle w:val="TOC2"/>
        <w:tabs>
          <w:tab w:val="right" w:leader="dot" w:pos="9350"/>
        </w:tabs>
        <w:rPr>
          <w:rFonts w:asciiTheme="minorHAnsi" w:eastAsiaTheme="minorEastAsia" w:hAnsiTheme="minorHAnsi" w:cstheme="minorBidi"/>
          <w:noProof/>
          <w:szCs w:val="22"/>
        </w:rPr>
      </w:pPr>
      <w:hyperlink w:anchor="_Toc491175852" w:history="1">
        <w:r w:rsidR="00ED0B7F" w:rsidRPr="002F012F">
          <w:rPr>
            <w:rStyle w:val="Hyperlink"/>
            <w:noProof/>
          </w:rPr>
          <w:t>4.3.1 Full Measure Cost</w:t>
        </w:r>
        <w:r w:rsidR="00ED0B7F">
          <w:rPr>
            <w:noProof/>
            <w:webHidden/>
          </w:rPr>
          <w:tab/>
        </w:r>
        <w:r w:rsidR="00ED0B7F">
          <w:rPr>
            <w:noProof/>
            <w:webHidden/>
          </w:rPr>
          <w:fldChar w:fldCharType="begin"/>
        </w:r>
        <w:r w:rsidR="00ED0B7F">
          <w:rPr>
            <w:noProof/>
            <w:webHidden/>
          </w:rPr>
          <w:instrText xml:space="preserve"> PAGEREF _Toc491175852 \h </w:instrText>
        </w:r>
        <w:r w:rsidR="00ED0B7F">
          <w:rPr>
            <w:noProof/>
            <w:webHidden/>
          </w:rPr>
        </w:r>
        <w:r w:rsidR="00ED0B7F">
          <w:rPr>
            <w:noProof/>
            <w:webHidden/>
          </w:rPr>
          <w:fldChar w:fldCharType="separate"/>
        </w:r>
        <w:r w:rsidR="006E5760">
          <w:rPr>
            <w:noProof/>
            <w:webHidden/>
          </w:rPr>
          <w:t>12</w:t>
        </w:r>
        <w:r w:rsidR="00ED0B7F">
          <w:rPr>
            <w:noProof/>
            <w:webHidden/>
          </w:rPr>
          <w:fldChar w:fldCharType="end"/>
        </w:r>
      </w:hyperlink>
    </w:p>
    <w:p w14:paraId="74E10775" w14:textId="47745649" w:rsidR="00ED0B7F" w:rsidRDefault="007C4CAE">
      <w:pPr>
        <w:pStyle w:val="TOC2"/>
        <w:tabs>
          <w:tab w:val="right" w:leader="dot" w:pos="9350"/>
        </w:tabs>
        <w:rPr>
          <w:rFonts w:asciiTheme="minorHAnsi" w:eastAsiaTheme="minorEastAsia" w:hAnsiTheme="minorHAnsi" w:cstheme="minorBidi"/>
          <w:noProof/>
          <w:szCs w:val="22"/>
        </w:rPr>
      </w:pPr>
      <w:hyperlink w:anchor="_Toc491175853" w:history="1">
        <w:r w:rsidR="00ED0B7F" w:rsidRPr="002F012F">
          <w:rPr>
            <w:rStyle w:val="Hyperlink"/>
            <w:noProof/>
          </w:rPr>
          <w:t>4.3.2 Incremental Measure Costs</w:t>
        </w:r>
        <w:r w:rsidR="00ED0B7F">
          <w:rPr>
            <w:noProof/>
            <w:webHidden/>
          </w:rPr>
          <w:tab/>
        </w:r>
        <w:r w:rsidR="00ED0B7F">
          <w:rPr>
            <w:noProof/>
            <w:webHidden/>
          </w:rPr>
          <w:fldChar w:fldCharType="begin"/>
        </w:r>
        <w:r w:rsidR="00ED0B7F">
          <w:rPr>
            <w:noProof/>
            <w:webHidden/>
          </w:rPr>
          <w:instrText xml:space="preserve"> PAGEREF _Toc491175853 \h </w:instrText>
        </w:r>
        <w:r w:rsidR="00ED0B7F">
          <w:rPr>
            <w:noProof/>
            <w:webHidden/>
          </w:rPr>
        </w:r>
        <w:r w:rsidR="00ED0B7F">
          <w:rPr>
            <w:noProof/>
            <w:webHidden/>
          </w:rPr>
          <w:fldChar w:fldCharType="separate"/>
        </w:r>
        <w:r w:rsidR="006E5760">
          <w:rPr>
            <w:noProof/>
            <w:webHidden/>
          </w:rPr>
          <w:t>13</w:t>
        </w:r>
        <w:r w:rsidR="00ED0B7F">
          <w:rPr>
            <w:noProof/>
            <w:webHidden/>
          </w:rPr>
          <w:fldChar w:fldCharType="end"/>
        </w:r>
      </w:hyperlink>
    </w:p>
    <w:p w14:paraId="77E7F73B" w14:textId="7BF23561" w:rsidR="00ED0B7F" w:rsidRDefault="007C4CAE">
      <w:pPr>
        <w:pStyle w:val="TOC1"/>
        <w:tabs>
          <w:tab w:val="right" w:leader="dot" w:pos="9350"/>
        </w:tabs>
        <w:rPr>
          <w:rFonts w:asciiTheme="minorHAnsi" w:eastAsiaTheme="minorEastAsia" w:hAnsiTheme="minorHAnsi" w:cstheme="minorBidi"/>
          <w:noProof/>
          <w:szCs w:val="22"/>
        </w:rPr>
      </w:pPr>
      <w:hyperlink w:anchor="_Toc491175854" w:history="1">
        <w:r w:rsidR="00ED0B7F" w:rsidRPr="002F012F">
          <w:rPr>
            <w:rStyle w:val="Hyperlink"/>
            <w:noProof/>
          </w:rPr>
          <w:t>References</w:t>
        </w:r>
        <w:r w:rsidR="00ED0B7F">
          <w:rPr>
            <w:noProof/>
            <w:webHidden/>
          </w:rPr>
          <w:tab/>
        </w:r>
        <w:r w:rsidR="00ED0B7F">
          <w:rPr>
            <w:noProof/>
            <w:webHidden/>
          </w:rPr>
          <w:fldChar w:fldCharType="begin"/>
        </w:r>
        <w:r w:rsidR="00ED0B7F">
          <w:rPr>
            <w:noProof/>
            <w:webHidden/>
          </w:rPr>
          <w:instrText xml:space="preserve"> PAGEREF _Toc491175854 \h </w:instrText>
        </w:r>
        <w:r w:rsidR="00ED0B7F">
          <w:rPr>
            <w:noProof/>
            <w:webHidden/>
          </w:rPr>
        </w:r>
        <w:r w:rsidR="00ED0B7F">
          <w:rPr>
            <w:noProof/>
            <w:webHidden/>
          </w:rPr>
          <w:fldChar w:fldCharType="separate"/>
        </w:r>
        <w:r w:rsidR="006E5760">
          <w:rPr>
            <w:noProof/>
            <w:webHidden/>
          </w:rPr>
          <w:t>14</w:t>
        </w:r>
        <w:r w:rsidR="00ED0B7F">
          <w:rPr>
            <w:noProof/>
            <w:webHidden/>
          </w:rPr>
          <w:fldChar w:fldCharType="end"/>
        </w:r>
      </w:hyperlink>
    </w:p>
    <w:p w14:paraId="190489A6" w14:textId="77777777" w:rsidR="001E4C31" w:rsidRDefault="001E4C31">
      <w:r>
        <w:rPr>
          <w:b/>
          <w:bCs/>
          <w:noProof/>
        </w:rPr>
        <w:fldChar w:fldCharType="end"/>
      </w:r>
    </w:p>
    <w:p w14:paraId="5E21587B" w14:textId="77777777" w:rsidR="00ED21EE" w:rsidRDefault="006559C8" w:rsidP="00ED21EE">
      <w:pPr>
        <w:pStyle w:val="Heading1"/>
      </w:pPr>
      <w:r>
        <w:br w:type="page"/>
      </w:r>
      <w:bookmarkStart w:id="18" w:name="_Toc172205729"/>
      <w:bookmarkStart w:id="19" w:name="_Toc304800199"/>
      <w:bookmarkStart w:id="20" w:name="_Toc324318335"/>
      <w:bookmarkStart w:id="21" w:name="_Toc324340479"/>
      <w:bookmarkStart w:id="22" w:name="_Toc491175824"/>
      <w:r w:rsidR="00ED21EE">
        <w:lastRenderedPageBreak/>
        <w:t>List of Tables</w:t>
      </w:r>
      <w:bookmarkEnd w:id="18"/>
      <w:bookmarkEnd w:id="19"/>
      <w:bookmarkEnd w:id="20"/>
      <w:bookmarkEnd w:id="21"/>
      <w:bookmarkEnd w:id="22"/>
    </w:p>
    <w:p w14:paraId="404C42D8" w14:textId="31DAC6DD" w:rsidR="004B65B4"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91176169" w:history="1">
        <w:r w:rsidR="004B65B4" w:rsidRPr="002D0AAD">
          <w:rPr>
            <w:rStyle w:val="Hyperlink"/>
            <w:rFonts w:cs="Arial"/>
            <w:noProof/>
          </w:rPr>
          <w:t>Table 1  Market Potential</w:t>
        </w:r>
        <w:r w:rsidR="004B65B4">
          <w:rPr>
            <w:noProof/>
            <w:webHidden/>
          </w:rPr>
          <w:tab/>
        </w:r>
        <w:r w:rsidR="004B65B4">
          <w:rPr>
            <w:noProof/>
            <w:webHidden/>
          </w:rPr>
          <w:fldChar w:fldCharType="begin"/>
        </w:r>
        <w:r w:rsidR="004B65B4">
          <w:rPr>
            <w:noProof/>
            <w:webHidden/>
          </w:rPr>
          <w:instrText xml:space="preserve"> PAGEREF _Toc491176169 \h </w:instrText>
        </w:r>
        <w:r w:rsidR="004B65B4">
          <w:rPr>
            <w:noProof/>
            <w:webHidden/>
          </w:rPr>
        </w:r>
        <w:r w:rsidR="004B65B4">
          <w:rPr>
            <w:noProof/>
            <w:webHidden/>
          </w:rPr>
          <w:fldChar w:fldCharType="separate"/>
        </w:r>
        <w:r w:rsidR="006E5760">
          <w:rPr>
            <w:noProof/>
            <w:webHidden/>
          </w:rPr>
          <w:t>2</w:t>
        </w:r>
        <w:r w:rsidR="004B65B4">
          <w:rPr>
            <w:noProof/>
            <w:webHidden/>
          </w:rPr>
          <w:fldChar w:fldCharType="end"/>
        </w:r>
      </w:hyperlink>
    </w:p>
    <w:p w14:paraId="48AD4258" w14:textId="10B05C07"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0" w:history="1">
        <w:r w:rsidR="004B65B4" w:rsidRPr="002D0AAD">
          <w:rPr>
            <w:rStyle w:val="Hyperlink"/>
            <w:noProof/>
          </w:rPr>
          <w:t>Table 2</w:t>
        </w:r>
        <w:r w:rsidR="004B65B4" w:rsidRPr="002D0AAD">
          <w:rPr>
            <w:rStyle w:val="Hyperlink"/>
            <w:rFonts w:ascii="Calibri" w:hAnsi="Calibri" w:cs="Calibri"/>
            <w:noProof/>
          </w:rPr>
          <w:t xml:space="preserve"> </w:t>
        </w:r>
        <w:r w:rsidR="004B65B4" w:rsidRPr="002D0AAD">
          <w:rPr>
            <w:rStyle w:val="Hyperlink"/>
            <w:rFonts w:cs="Arial"/>
            <w:noProof/>
          </w:rPr>
          <w:t>Measure Application Type</w:t>
        </w:r>
        <w:r w:rsidR="004B65B4">
          <w:rPr>
            <w:noProof/>
            <w:webHidden/>
          </w:rPr>
          <w:tab/>
        </w:r>
        <w:r w:rsidR="004B65B4">
          <w:rPr>
            <w:noProof/>
            <w:webHidden/>
          </w:rPr>
          <w:fldChar w:fldCharType="begin"/>
        </w:r>
        <w:r w:rsidR="004B65B4">
          <w:rPr>
            <w:noProof/>
            <w:webHidden/>
          </w:rPr>
          <w:instrText xml:space="preserve"> PAGEREF _Toc491176170 \h </w:instrText>
        </w:r>
        <w:r w:rsidR="004B65B4">
          <w:rPr>
            <w:noProof/>
            <w:webHidden/>
          </w:rPr>
        </w:r>
        <w:r w:rsidR="004B65B4">
          <w:rPr>
            <w:noProof/>
            <w:webHidden/>
          </w:rPr>
          <w:fldChar w:fldCharType="separate"/>
        </w:r>
        <w:r w:rsidR="006E5760">
          <w:rPr>
            <w:noProof/>
            <w:webHidden/>
          </w:rPr>
          <w:t>3</w:t>
        </w:r>
        <w:r w:rsidR="004B65B4">
          <w:rPr>
            <w:noProof/>
            <w:webHidden/>
          </w:rPr>
          <w:fldChar w:fldCharType="end"/>
        </w:r>
      </w:hyperlink>
    </w:p>
    <w:p w14:paraId="39D6F6B2" w14:textId="702EC0EB"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1" w:history="1">
        <w:r w:rsidR="004B65B4" w:rsidRPr="002D0AAD">
          <w:rPr>
            <w:rStyle w:val="Hyperlink"/>
            <w:rFonts w:cs="Arial"/>
            <w:noProof/>
          </w:rPr>
          <w:t>Table 3 DEER Net-to-Gross Ratios</w:t>
        </w:r>
        <w:r w:rsidR="004B65B4">
          <w:rPr>
            <w:noProof/>
            <w:webHidden/>
          </w:rPr>
          <w:tab/>
        </w:r>
        <w:r w:rsidR="004B65B4">
          <w:rPr>
            <w:noProof/>
            <w:webHidden/>
          </w:rPr>
          <w:fldChar w:fldCharType="begin"/>
        </w:r>
        <w:r w:rsidR="004B65B4">
          <w:rPr>
            <w:noProof/>
            <w:webHidden/>
          </w:rPr>
          <w:instrText xml:space="preserve"> PAGEREF _Toc491176171 \h </w:instrText>
        </w:r>
        <w:r w:rsidR="004B65B4">
          <w:rPr>
            <w:noProof/>
            <w:webHidden/>
          </w:rPr>
        </w:r>
        <w:r w:rsidR="004B65B4">
          <w:rPr>
            <w:noProof/>
            <w:webHidden/>
          </w:rPr>
          <w:fldChar w:fldCharType="separate"/>
        </w:r>
        <w:r w:rsidR="006E5760">
          <w:rPr>
            <w:noProof/>
            <w:webHidden/>
          </w:rPr>
          <w:t>3</w:t>
        </w:r>
        <w:r w:rsidR="004B65B4">
          <w:rPr>
            <w:noProof/>
            <w:webHidden/>
          </w:rPr>
          <w:fldChar w:fldCharType="end"/>
        </w:r>
      </w:hyperlink>
    </w:p>
    <w:p w14:paraId="06C2E482" w14:textId="39E9A0A9"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2" w:history="1">
        <w:r w:rsidR="004B65B4" w:rsidRPr="002D0AAD">
          <w:rPr>
            <w:rStyle w:val="Hyperlink"/>
            <w:rFonts w:cs="Arial"/>
            <w:noProof/>
          </w:rPr>
          <w:t>Table 4 TOU Adjustment Factors</w:t>
        </w:r>
        <w:r w:rsidR="004B65B4">
          <w:rPr>
            <w:noProof/>
            <w:webHidden/>
          </w:rPr>
          <w:tab/>
        </w:r>
        <w:r w:rsidR="004B65B4">
          <w:rPr>
            <w:noProof/>
            <w:webHidden/>
          </w:rPr>
          <w:fldChar w:fldCharType="begin"/>
        </w:r>
        <w:r w:rsidR="004B65B4">
          <w:rPr>
            <w:noProof/>
            <w:webHidden/>
          </w:rPr>
          <w:instrText xml:space="preserve"> PAGEREF _Toc491176172 \h </w:instrText>
        </w:r>
        <w:r w:rsidR="004B65B4">
          <w:rPr>
            <w:noProof/>
            <w:webHidden/>
          </w:rPr>
        </w:r>
        <w:r w:rsidR="004B65B4">
          <w:rPr>
            <w:noProof/>
            <w:webHidden/>
          </w:rPr>
          <w:fldChar w:fldCharType="separate"/>
        </w:r>
        <w:r w:rsidR="006E5760">
          <w:rPr>
            <w:noProof/>
            <w:webHidden/>
          </w:rPr>
          <w:t>4</w:t>
        </w:r>
        <w:r w:rsidR="004B65B4">
          <w:rPr>
            <w:noProof/>
            <w:webHidden/>
          </w:rPr>
          <w:fldChar w:fldCharType="end"/>
        </w:r>
      </w:hyperlink>
    </w:p>
    <w:p w14:paraId="7DC4FA88" w14:textId="781EB039"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3" w:history="1">
        <w:r w:rsidR="004B65B4" w:rsidRPr="002D0AAD">
          <w:rPr>
            <w:rStyle w:val="Hyperlink"/>
            <w:noProof/>
          </w:rPr>
          <w:t>Table 5 Baseline by Measure Application Type</w:t>
        </w:r>
        <w:r w:rsidR="004B65B4">
          <w:rPr>
            <w:noProof/>
            <w:webHidden/>
          </w:rPr>
          <w:tab/>
        </w:r>
        <w:r w:rsidR="004B65B4">
          <w:rPr>
            <w:noProof/>
            <w:webHidden/>
          </w:rPr>
          <w:fldChar w:fldCharType="begin"/>
        </w:r>
        <w:r w:rsidR="004B65B4">
          <w:rPr>
            <w:noProof/>
            <w:webHidden/>
          </w:rPr>
          <w:instrText xml:space="preserve"> PAGEREF _Toc491176173 \h </w:instrText>
        </w:r>
        <w:r w:rsidR="004B65B4">
          <w:rPr>
            <w:noProof/>
            <w:webHidden/>
          </w:rPr>
        </w:r>
        <w:r w:rsidR="004B65B4">
          <w:rPr>
            <w:noProof/>
            <w:webHidden/>
          </w:rPr>
          <w:fldChar w:fldCharType="separate"/>
        </w:r>
        <w:r w:rsidR="006E5760">
          <w:rPr>
            <w:noProof/>
            <w:webHidden/>
          </w:rPr>
          <w:t>5</w:t>
        </w:r>
        <w:r w:rsidR="004B65B4">
          <w:rPr>
            <w:noProof/>
            <w:webHidden/>
          </w:rPr>
          <w:fldChar w:fldCharType="end"/>
        </w:r>
      </w:hyperlink>
    </w:p>
    <w:p w14:paraId="08CC332A" w14:textId="457FCFC7"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4" w:history="1">
        <w:r w:rsidR="004B65B4" w:rsidRPr="002D0AAD">
          <w:rPr>
            <w:rStyle w:val="Hyperlink"/>
            <w:rFonts w:cs="Arial"/>
            <w:noProof/>
          </w:rPr>
          <w:t>Table 6 Washer Utilization Rate</w:t>
        </w:r>
        <w:r w:rsidR="004B65B4">
          <w:rPr>
            <w:noProof/>
            <w:webHidden/>
          </w:rPr>
          <w:tab/>
        </w:r>
        <w:r w:rsidR="004B65B4">
          <w:rPr>
            <w:noProof/>
            <w:webHidden/>
          </w:rPr>
          <w:fldChar w:fldCharType="begin"/>
        </w:r>
        <w:r w:rsidR="004B65B4">
          <w:rPr>
            <w:noProof/>
            <w:webHidden/>
          </w:rPr>
          <w:instrText xml:space="preserve"> PAGEREF _Toc491176174 \h </w:instrText>
        </w:r>
        <w:r w:rsidR="004B65B4">
          <w:rPr>
            <w:noProof/>
            <w:webHidden/>
          </w:rPr>
        </w:r>
        <w:r w:rsidR="004B65B4">
          <w:rPr>
            <w:noProof/>
            <w:webHidden/>
          </w:rPr>
          <w:fldChar w:fldCharType="separate"/>
        </w:r>
        <w:r w:rsidR="006E5760">
          <w:rPr>
            <w:noProof/>
            <w:webHidden/>
          </w:rPr>
          <w:t>7</w:t>
        </w:r>
        <w:r w:rsidR="004B65B4">
          <w:rPr>
            <w:noProof/>
            <w:webHidden/>
          </w:rPr>
          <w:fldChar w:fldCharType="end"/>
        </w:r>
      </w:hyperlink>
    </w:p>
    <w:p w14:paraId="1CD37A32" w14:textId="22501505"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5" w:history="1">
        <w:r w:rsidR="004B65B4" w:rsidRPr="002D0AAD">
          <w:rPr>
            <w:rStyle w:val="Hyperlink"/>
            <w:rFonts w:cs="Arial"/>
            <w:noProof/>
          </w:rPr>
          <w:t>Table 7 Hot Water Use Factor</w:t>
        </w:r>
        <w:r w:rsidR="004B65B4">
          <w:rPr>
            <w:noProof/>
            <w:webHidden/>
          </w:rPr>
          <w:tab/>
        </w:r>
        <w:r w:rsidR="004B65B4">
          <w:rPr>
            <w:noProof/>
            <w:webHidden/>
          </w:rPr>
          <w:fldChar w:fldCharType="begin"/>
        </w:r>
        <w:r w:rsidR="004B65B4">
          <w:rPr>
            <w:noProof/>
            <w:webHidden/>
          </w:rPr>
          <w:instrText xml:space="preserve"> PAGEREF _Toc491176175 \h </w:instrText>
        </w:r>
        <w:r w:rsidR="004B65B4">
          <w:rPr>
            <w:noProof/>
            <w:webHidden/>
          </w:rPr>
        </w:r>
        <w:r w:rsidR="004B65B4">
          <w:rPr>
            <w:noProof/>
            <w:webHidden/>
          </w:rPr>
          <w:fldChar w:fldCharType="separate"/>
        </w:r>
        <w:r w:rsidR="006E5760">
          <w:rPr>
            <w:noProof/>
            <w:webHidden/>
          </w:rPr>
          <w:t>8</w:t>
        </w:r>
        <w:r w:rsidR="004B65B4">
          <w:rPr>
            <w:noProof/>
            <w:webHidden/>
          </w:rPr>
          <w:fldChar w:fldCharType="end"/>
        </w:r>
      </w:hyperlink>
    </w:p>
    <w:p w14:paraId="7803A2E2" w14:textId="6CB75BFA"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6" w:history="1">
        <w:r w:rsidR="004B65B4" w:rsidRPr="002D0AAD">
          <w:rPr>
            <w:rStyle w:val="Hyperlink"/>
            <w:rFonts w:cs="Arial"/>
            <w:noProof/>
          </w:rPr>
          <w:t>Table 8 Hot Water Reduction Factor</w:t>
        </w:r>
        <w:r w:rsidR="004B65B4">
          <w:rPr>
            <w:noProof/>
            <w:webHidden/>
          </w:rPr>
          <w:tab/>
        </w:r>
        <w:r w:rsidR="004B65B4">
          <w:rPr>
            <w:noProof/>
            <w:webHidden/>
          </w:rPr>
          <w:fldChar w:fldCharType="begin"/>
        </w:r>
        <w:r w:rsidR="004B65B4">
          <w:rPr>
            <w:noProof/>
            <w:webHidden/>
          </w:rPr>
          <w:instrText xml:space="preserve"> PAGEREF _Toc491176176 \h </w:instrText>
        </w:r>
        <w:r w:rsidR="004B65B4">
          <w:rPr>
            <w:noProof/>
            <w:webHidden/>
          </w:rPr>
        </w:r>
        <w:r w:rsidR="004B65B4">
          <w:rPr>
            <w:noProof/>
            <w:webHidden/>
          </w:rPr>
          <w:fldChar w:fldCharType="separate"/>
        </w:r>
        <w:r w:rsidR="006E5760">
          <w:rPr>
            <w:noProof/>
            <w:webHidden/>
          </w:rPr>
          <w:t>8</w:t>
        </w:r>
        <w:r w:rsidR="004B65B4">
          <w:rPr>
            <w:noProof/>
            <w:webHidden/>
          </w:rPr>
          <w:fldChar w:fldCharType="end"/>
        </w:r>
      </w:hyperlink>
    </w:p>
    <w:p w14:paraId="3E8CA652" w14:textId="71040DCD" w:rsidR="004B65B4" w:rsidRDefault="007C4CAE">
      <w:pPr>
        <w:pStyle w:val="TableofFigures"/>
        <w:tabs>
          <w:tab w:val="right" w:leader="dot" w:pos="9350"/>
        </w:tabs>
        <w:rPr>
          <w:rFonts w:asciiTheme="minorHAnsi" w:eastAsiaTheme="minorEastAsia" w:hAnsiTheme="minorHAnsi" w:cstheme="minorBidi"/>
          <w:noProof/>
          <w:szCs w:val="22"/>
        </w:rPr>
      </w:pPr>
      <w:hyperlink w:anchor="_Toc491176177" w:history="1">
        <w:r w:rsidR="004B65B4" w:rsidRPr="002D0AAD">
          <w:rPr>
            <w:rStyle w:val="Hyperlink"/>
            <w:noProof/>
          </w:rPr>
          <w:t>Table 9 Water Usage and Reduction Factors</w:t>
        </w:r>
        <w:r w:rsidR="004B65B4">
          <w:rPr>
            <w:noProof/>
            <w:webHidden/>
          </w:rPr>
          <w:tab/>
        </w:r>
        <w:r w:rsidR="004B65B4">
          <w:rPr>
            <w:noProof/>
            <w:webHidden/>
          </w:rPr>
          <w:fldChar w:fldCharType="begin"/>
        </w:r>
        <w:r w:rsidR="004B65B4">
          <w:rPr>
            <w:noProof/>
            <w:webHidden/>
          </w:rPr>
          <w:instrText xml:space="preserve"> PAGEREF _Toc491176177 \h </w:instrText>
        </w:r>
        <w:r w:rsidR="004B65B4">
          <w:rPr>
            <w:noProof/>
            <w:webHidden/>
          </w:rPr>
        </w:r>
        <w:r w:rsidR="004B65B4">
          <w:rPr>
            <w:noProof/>
            <w:webHidden/>
          </w:rPr>
          <w:fldChar w:fldCharType="separate"/>
        </w:r>
        <w:r w:rsidR="006E5760">
          <w:rPr>
            <w:noProof/>
            <w:webHidden/>
          </w:rPr>
          <w:t>10</w:t>
        </w:r>
        <w:r w:rsidR="004B65B4">
          <w:rPr>
            <w:noProof/>
            <w:webHidden/>
          </w:rPr>
          <w:fldChar w:fldCharType="end"/>
        </w:r>
      </w:hyperlink>
    </w:p>
    <w:p w14:paraId="34D5791F" w14:textId="77777777" w:rsidR="005A1F9D" w:rsidRDefault="00ED21EE" w:rsidP="005A1F9D">
      <w:r>
        <w:fldChar w:fldCharType="end"/>
      </w:r>
      <w:r w:rsidR="005A1F9D" w:rsidRPr="005A1F9D">
        <w:t xml:space="preserve"> </w:t>
      </w:r>
    </w:p>
    <w:p w14:paraId="7C947239" w14:textId="77777777" w:rsidR="005A1F9D" w:rsidRDefault="005A1F9D" w:rsidP="005A1F9D">
      <w:pPr>
        <w:pStyle w:val="Heading1"/>
      </w:pPr>
      <w:bookmarkStart w:id="23" w:name="_Toc174179832"/>
      <w:bookmarkStart w:id="24" w:name="_Toc174181292"/>
      <w:bookmarkStart w:id="25" w:name="_Toc304800200"/>
      <w:bookmarkStart w:id="26" w:name="_Toc324318336"/>
      <w:bookmarkStart w:id="27" w:name="_Toc324340480"/>
      <w:bookmarkStart w:id="28" w:name="_Toc491175825"/>
      <w:r>
        <w:t>List of Figures</w:t>
      </w:r>
      <w:bookmarkEnd w:id="23"/>
      <w:bookmarkEnd w:id="24"/>
      <w:bookmarkEnd w:id="25"/>
      <w:bookmarkEnd w:id="26"/>
      <w:bookmarkEnd w:id="27"/>
      <w:bookmarkEnd w:id="28"/>
    </w:p>
    <w:p w14:paraId="65EEFE59" w14:textId="77777777" w:rsidR="005A1F9D" w:rsidRDefault="007C4CAE" w:rsidP="005A1F9D">
      <w:r>
        <w:fldChar w:fldCharType="begin"/>
      </w:r>
      <w:r>
        <w:instrText xml:space="preserve"> TOC \h \z \c "Figure" </w:instrText>
      </w:r>
      <w:r>
        <w:fldChar w:fldCharType="separate"/>
      </w:r>
      <w:r w:rsidR="00BD2BF6">
        <w:rPr>
          <w:b/>
          <w:bCs/>
          <w:noProof/>
        </w:rPr>
        <w:t>No table of figures entries found.</w:t>
      </w:r>
      <w:r>
        <w:rPr>
          <w:b/>
          <w:bCs/>
          <w:noProof/>
        </w:rPr>
        <w:fldChar w:fldCharType="end"/>
      </w:r>
    </w:p>
    <w:p w14:paraId="1CA09019"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9" w:name="_Toc304800201"/>
      <w:bookmarkStart w:id="30" w:name="_Toc324318337"/>
      <w:bookmarkStart w:id="31" w:name="_Toc324340481"/>
      <w:bookmarkStart w:id="32" w:name="_Toc172205732"/>
    </w:p>
    <w:p w14:paraId="56C4DAE9" w14:textId="77777777" w:rsidR="00ED21EE" w:rsidRDefault="00ED21EE" w:rsidP="00ED21EE">
      <w:pPr>
        <w:pStyle w:val="Heading1"/>
      </w:pPr>
      <w:bookmarkStart w:id="33" w:name="_Toc491175826"/>
      <w:r>
        <w:lastRenderedPageBreak/>
        <w:t>Section 1. General Measure &amp; Baseline Data</w:t>
      </w:r>
      <w:bookmarkEnd w:id="29"/>
      <w:bookmarkEnd w:id="30"/>
      <w:bookmarkEnd w:id="31"/>
      <w:bookmarkEnd w:id="33"/>
    </w:p>
    <w:p w14:paraId="590EEF97" w14:textId="77777777" w:rsidR="00E71EF1" w:rsidRDefault="001248A3" w:rsidP="001248A3">
      <w:pPr>
        <w:pStyle w:val="Heading2"/>
      </w:pPr>
      <w:bookmarkStart w:id="34" w:name="_Toc304800202"/>
      <w:bookmarkStart w:id="35" w:name="_Toc324318338"/>
      <w:bookmarkStart w:id="36" w:name="_Toc324340482"/>
      <w:bookmarkStart w:id="37" w:name="_Toc491175827"/>
      <w:bookmarkEnd w:id="32"/>
      <w:r>
        <w:t xml:space="preserve">1.1 </w:t>
      </w:r>
      <w:r w:rsidR="008C6AD1">
        <w:t xml:space="preserve">Product </w:t>
      </w:r>
      <w:r w:rsidR="00E71EF1" w:rsidRPr="001248A3">
        <w:t>Measure Description &amp; Background</w:t>
      </w:r>
      <w:bookmarkEnd w:id="34"/>
      <w:bookmarkEnd w:id="35"/>
      <w:bookmarkEnd w:id="36"/>
      <w:bookmarkEnd w:id="37"/>
    </w:p>
    <w:p w14:paraId="2D0A509E" w14:textId="77777777" w:rsidR="001B4D4A" w:rsidRDefault="00521920" w:rsidP="001B4D4A">
      <w:pPr>
        <w:rPr>
          <w:rFonts w:cs="Arial"/>
          <w:b/>
          <w:i/>
          <w:color w:val="FF0000"/>
        </w:rPr>
      </w:pPr>
      <w:r w:rsidRPr="00521920">
        <w:rPr>
          <w:rFonts w:cs="Arial"/>
          <w:b/>
          <w:i/>
        </w:rPr>
        <w:t>Catalog Description</w:t>
      </w:r>
      <w:r w:rsidR="00E840FE">
        <w:rPr>
          <w:rFonts w:cs="Arial"/>
          <w:b/>
          <w:i/>
        </w:rPr>
        <w:t xml:space="preserve"> – </w:t>
      </w:r>
    </w:p>
    <w:p w14:paraId="7FC3924A" w14:textId="77777777" w:rsidR="001B4D4A" w:rsidRPr="001B4D4A" w:rsidRDefault="001B4D4A" w:rsidP="001B4D4A">
      <w:pPr>
        <w:rPr>
          <w:sz w:val="20"/>
        </w:rPr>
      </w:pPr>
      <w:r w:rsidRPr="001B4D4A">
        <w:rPr>
          <w:sz w:val="20"/>
        </w:rPr>
        <w:t>The ozone laundry system(s) is a piece of equipment that is added-on to new or existing commercial washing machine(s). The system generates ozone (O3), a naturally occurring molecule, which helps clean fabrics by chemically reacting with soils in cold water. Adding an ozone laundry system(s) will reduce the amount of chemicals, detergents, and hot water needed to wash linens. Using ozone also reduces the total amount of water consumed, saving even more in energy.</w:t>
      </w:r>
    </w:p>
    <w:p w14:paraId="0CD0195F" w14:textId="77777777" w:rsidR="001B4D4A" w:rsidRDefault="001B4D4A" w:rsidP="001B4D4A">
      <w:pPr>
        <w:rPr>
          <w:rFonts w:cs="Arial"/>
          <w:b/>
          <w:i/>
          <w:sz w:val="20"/>
          <w:szCs w:val="20"/>
        </w:rPr>
      </w:pPr>
    </w:p>
    <w:p w14:paraId="266A07FD" w14:textId="77777777" w:rsidR="001B4D4A" w:rsidRPr="001B4D4A" w:rsidRDefault="001B4D4A" w:rsidP="001B4D4A">
      <w:pPr>
        <w:rPr>
          <w:rFonts w:cs="Arial"/>
          <w:b/>
          <w:i/>
          <w:sz w:val="20"/>
        </w:rPr>
      </w:pPr>
      <w:r w:rsidRPr="001B4D4A">
        <w:rPr>
          <w:rFonts w:cs="Arial"/>
          <w:b/>
          <w:i/>
          <w:sz w:val="20"/>
        </w:rPr>
        <w:t>Requirements:</w:t>
      </w:r>
    </w:p>
    <w:p w14:paraId="4CC12A69" w14:textId="77777777" w:rsidR="001B4D4A" w:rsidRDefault="001B4D4A" w:rsidP="001B4D4A">
      <w:pPr>
        <w:numPr>
          <w:ilvl w:val="0"/>
          <w:numId w:val="21"/>
        </w:numPr>
        <w:rPr>
          <w:sz w:val="20"/>
        </w:rPr>
      </w:pPr>
      <w:r w:rsidRPr="001B4D4A">
        <w:rPr>
          <w:sz w:val="20"/>
        </w:rPr>
        <w:t xml:space="preserve">Customer must have a natural gas-fired boiler or natural gas water heater that supplies hot water to the </w:t>
      </w:r>
      <w:proofErr w:type="spellStart"/>
      <w:r w:rsidRPr="001B4D4A">
        <w:rPr>
          <w:sz w:val="20"/>
        </w:rPr>
        <w:t>on-premise</w:t>
      </w:r>
      <w:proofErr w:type="spellEnd"/>
      <w:r w:rsidRPr="001B4D4A">
        <w:rPr>
          <w:sz w:val="20"/>
        </w:rPr>
        <w:t xml:space="preserve"> laundry equipment.</w:t>
      </w:r>
    </w:p>
    <w:p w14:paraId="2984CC26" w14:textId="77777777" w:rsidR="00B8365C" w:rsidRDefault="00B8365C" w:rsidP="00B8365C">
      <w:pPr>
        <w:numPr>
          <w:ilvl w:val="0"/>
          <w:numId w:val="21"/>
        </w:numPr>
        <w:rPr>
          <w:sz w:val="20"/>
        </w:rPr>
      </w:pPr>
      <w:r>
        <w:rPr>
          <w:sz w:val="20"/>
        </w:rPr>
        <w:t>Laundry systems equipped with tunnel washers are not eligible.</w:t>
      </w:r>
    </w:p>
    <w:p w14:paraId="669884A6" w14:textId="77777777" w:rsidR="003C04F3" w:rsidRPr="00B8365C" w:rsidRDefault="003C04F3" w:rsidP="00B8365C">
      <w:pPr>
        <w:numPr>
          <w:ilvl w:val="0"/>
          <w:numId w:val="21"/>
        </w:numPr>
        <w:rPr>
          <w:sz w:val="20"/>
        </w:rPr>
      </w:pPr>
      <w:r>
        <w:rPr>
          <w:sz w:val="20"/>
        </w:rPr>
        <w:t>The washing capacity of each washing machine must be rated at 200 pounds or less.</w:t>
      </w:r>
    </w:p>
    <w:p w14:paraId="0425D303" w14:textId="77777777" w:rsidR="001B4D4A" w:rsidRPr="001B4D4A" w:rsidRDefault="001B4D4A" w:rsidP="001B4D4A">
      <w:pPr>
        <w:numPr>
          <w:ilvl w:val="0"/>
          <w:numId w:val="21"/>
        </w:numPr>
        <w:rPr>
          <w:sz w:val="20"/>
        </w:rPr>
      </w:pPr>
      <w:r w:rsidRPr="001B4D4A">
        <w:rPr>
          <w:sz w:val="20"/>
        </w:rPr>
        <w:t>The ozone laundry system(s) must be a new purchased product and installed with a new or existing commercial washing machine(s).</w:t>
      </w:r>
    </w:p>
    <w:p w14:paraId="3A1CD37C" w14:textId="77777777" w:rsidR="001B4D4A" w:rsidRPr="001B4D4A" w:rsidRDefault="001B4D4A" w:rsidP="001B4D4A">
      <w:pPr>
        <w:numPr>
          <w:ilvl w:val="0"/>
          <w:numId w:val="21"/>
        </w:numPr>
        <w:rPr>
          <w:sz w:val="20"/>
        </w:rPr>
      </w:pPr>
      <w:r w:rsidRPr="001B4D4A">
        <w:rPr>
          <w:sz w:val="20"/>
        </w:rPr>
        <w:t>The ozone laundry system(s) must transfer ozone into the water through:</w:t>
      </w:r>
    </w:p>
    <w:p w14:paraId="7EEA1B21" w14:textId="77777777" w:rsidR="001B4D4A" w:rsidRPr="001B4D4A" w:rsidRDefault="001B4D4A" w:rsidP="001B4D4A">
      <w:pPr>
        <w:numPr>
          <w:ilvl w:val="1"/>
          <w:numId w:val="21"/>
        </w:numPr>
        <w:rPr>
          <w:sz w:val="20"/>
        </w:rPr>
      </w:pPr>
      <w:proofErr w:type="spellStart"/>
      <w:r w:rsidRPr="001B4D4A">
        <w:rPr>
          <w:sz w:val="20"/>
        </w:rPr>
        <w:t>Venturi</w:t>
      </w:r>
      <w:proofErr w:type="spellEnd"/>
      <w:r w:rsidRPr="001B4D4A">
        <w:rPr>
          <w:sz w:val="20"/>
        </w:rPr>
        <w:t xml:space="preserve"> Injection</w:t>
      </w:r>
    </w:p>
    <w:p w14:paraId="761FAE15" w14:textId="77777777" w:rsidR="001B4D4A" w:rsidRPr="001B4D4A" w:rsidRDefault="001B4D4A" w:rsidP="001B4D4A">
      <w:pPr>
        <w:ind w:left="1080" w:firstLine="360"/>
        <w:rPr>
          <w:sz w:val="20"/>
        </w:rPr>
      </w:pPr>
      <w:r w:rsidRPr="001B4D4A">
        <w:rPr>
          <w:sz w:val="20"/>
        </w:rPr>
        <w:t>or</w:t>
      </w:r>
    </w:p>
    <w:p w14:paraId="38664774" w14:textId="77777777" w:rsidR="00B8365C" w:rsidRDefault="001B4D4A" w:rsidP="00B8365C">
      <w:pPr>
        <w:numPr>
          <w:ilvl w:val="1"/>
          <w:numId w:val="21"/>
        </w:numPr>
        <w:rPr>
          <w:sz w:val="20"/>
        </w:rPr>
      </w:pPr>
      <w:r w:rsidRPr="001B4D4A">
        <w:rPr>
          <w:sz w:val="20"/>
        </w:rPr>
        <w:t>Bubble Diffusion</w:t>
      </w:r>
    </w:p>
    <w:p w14:paraId="46CFEF4D" w14:textId="77777777" w:rsidR="00B8365C" w:rsidRPr="001B4D4A" w:rsidRDefault="00B8365C" w:rsidP="00B8365C">
      <w:pPr>
        <w:numPr>
          <w:ilvl w:val="0"/>
          <w:numId w:val="21"/>
        </w:numPr>
        <w:rPr>
          <w:sz w:val="20"/>
        </w:rPr>
      </w:pPr>
      <w:r w:rsidRPr="001B4D4A">
        <w:rPr>
          <w:sz w:val="20"/>
        </w:rPr>
        <w:t xml:space="preserve">This incentive only applies to the following facilities with </w:t>
      </w:r>
      <w:proofErr w:type="spellStart"/>
      <w:r w:rsidRPr="001B4D4A">
        <w:rPr>
          <w:sz w:val="20"/>
        </w:rPr>
        <w:t>on-premise</w:t>
      </w:r>
      <w:proofErr w:type="spellEnd"/>
      <w:r w:rsidRPr="001B4D4A">
        <w:rPr>
          <w:sz w:val="20"/>
        </w:rPr>
        <w:t xml:space="preserve"> laundry operations:</w:t>
      </w:r>
    </w:p>
    <w:p w14:paraId="321C45B9" w14:textId="77777777" w:rsidR="00B8365C" w:rsidRDefault="006B1F15" w:rsidP="00B8365C">
      <w:pPr>
        <w:numPr>
          <w:ilvl w:val="1"/>
          <w:numId w:val="21"/>
        </w:numPr>
        <w:rPr>
          <w:sz w:val="20"/>
        </w:rPr>
      </w:pPr>
      <w:r>
        <w:rPr>
          <w:sz w:val="20"/>
        </w:rPr>
        <w:t>Hotels/motels</w:t>
      </w:r>
    </w:p>
    <w:p w14:paraId="01ABA181" w14:textId="77777777" w:rsidR="00B8365C" w:rsidRDefault="00B8365C" w:rsidP="00B8365C">
      <w:pPr>
        <w:numPr>
          <w:ilvl w:val="1"/>
          <w:numId w:val="21"/>
        </w:numPr>
        <w:rPr>
          <w:sz w:val="20"/>
        </w:rPr>
      </w:pPr>
      <w:r w:rsidRPr="00B8365C">
        <w:rPr>
          <w:sz w:val="20"/>
        </w:rPr>
        <w:t>Fitness and recreational sports centers.</w:t>
      </w:r>
    </w:p>
    <w:p w14:paraId="305F766E" w14:textId="77777777" w:rsidR="00B8365C" w:rsidRDefault="00B8365C" w:rsidP="00B8365C">
      <w:pPr>
        <w:numPr>
          <w:ilvl w:val="1"/>
          <w:numId w:val="21"/>
        </w:numPr>
        <w:rPr>
          <w:sz w:val="20"/>
        </w:rPr>
      </w:pPr>
      <w:r>
        <w:rPr>
          <w:sz w:val="20"/>
        </w:rPr>
        <w:t>Nursing homes</w:t>
      </w:r>
    </w:p>
    <w:p w14:paraId="594F2604" w14:textId="77777777" w:rsidR="00B8365C" w:rsidRPr="00B8365C" w:rsidRDefault="00B8365C" w:rsidP="00B8365C">
      <w:pPr>
        <w:numPr>
          <w:ilvl w:val="1"/>
          <w:numId w:val="21"/>
        </w:numPr>
        <w:rPr>
          <w:sz w:val="20"/>
        </w:rPr>
      </w:pPr>
      <w:r>
        <w:rPr>
          <w:sz w:val="20"/>
        </w:rPr>
        <w:t>Correctional facilities</w:t>
      </w:r>
    </w:p>
    <w:p w14:paraId="4C723FF1" w14:textId="77777777" w:rsidR="001B4D4A" w:rsidRPr="001B4D4A" w:rsidRDefault="001B4D4A" w:rsidP="001B4D4A">
      <w:pPr>
        <w:rPr>
          <w:rFonts w:cs="Arial"/>
          <w:b/>
          <w:i/>
          <w:sz w:val="20"/>
        </w:rPr>
      </w:pPr>
    </w:p>
    <w:p w14:paraId="560BEE3F" w14:textId="77777777" w:rsidR="001B4D4A" w:rsidRPr="001B4D4A" w:rsidRDefault="001B4D4A" w:rsidP="001B4D4A">
      <w:pPr>
        <w:rPr>
          <w:rFonts w:cs="Arial"/>
          <w:b/>
          <w:i/>
          <w:sz w:val="20"/>
        </w:rPr>
      </w:pPr>
      <w:r w:rsidRPr="001B4D4A">
        <w:rPr>
          <w:rFonts w:cs="Arial"/>
          <w:b/>
          <w:i/>
          <w:sz w:val="20"/>
        </w:rPr>
        <w:t>Application Process:</w:t>
      </w:r>
    </w:p>
    <w:p w14:paraId="22BFBDBB" w14:textId="77777777" w:rsidR="001B4D4A" w:rsidRPr="001B4D4A" w:rsidRDefault="001B4D4A" w:rsidP="001B4D4A">
      <w:pPr>
        <w:numPr>
          <w:ilvl w:val="0"/>
          <w:numId w:val="20"/>
        </w:numPr>
        <w:rPr>
          <w:sz w:val="20"/>
        </w:rPr>
      </w:pPr>
      <w:r w:rsidRPr="001B4D4A">
        <w:rPr>
          <w:sz w:val="20"/>
        </w:rPr>
        <w:t>Must include a manufacturer’s specification sheet documenting manufacturer name, equipment model, and ozone laundry system’s serial number(s).</w:t>
      </w:r>
    </w:p>
    <w:p w14:paraId="30DE766B" w14:textId="77777777" w:rsidR="001B4D4A" w:rsidRPr="001B4D4A" w:rsidRDefault="001B4D4A" w:rsidP="001B4D4A">
      <w:pPr>
        <w:numPr>
          <w:ilvl w:val="0"/>
          <w:numId w:val="20"/>
        </w:numPr>
        <w:rPr>
          <w:sz w:val="20"/>
        </w:rPr>
      </w:pPr>
      <w:r w:rsidRPr="001B4D4A">
        <w:rPr>
          <w:sz w:val="20"/>
        </w:rPr>
        <w:t>Must include total washer capacity in pounds for operating washer units with ozone laundry system(s) connected.</w:t>
      </w:r>
    </w:p>
    <w:p w14:paraId="6171A549" w14:textId="77777777" w:rsidR="00521920" w:rsidRPr="00A562A6" w:rsidRDefault="00521920" w:rsidP="00872913">
      <w:pPr>
        <w:rPr>
          <w:rFonts w:cs="Arial"/>
          <w:b/>
          <w:i/>
          <w:sz w:val="20"/>
          <w:szCs w:val="20"/>
        </w:rPr>
      </w:pPr>
    </w:p>
    <w:p w14:paraId="5FDEC71F" w14:textId="77777777" w:rsidR="00521920" w:rsidRDefault="00521920" w:rsidP="00872913">
      <w:pPr>
        <w:rPr>
          <w:rFonts w:cs="Arial"/>
          <w:b/>
          <w:i/>
        </w:rPr>
      </w:pPr>
      <w:r>
        <w:rPr>
          <w:rFonts w:cs="Arial"/>
          <w:b/>
          <w:i/>
        </w:rPr>
        <w:t>Program Restrictions and Guidelines</w:t>
      </w:r>
    </w:p>
    <w:p w14:paraId="0089D5CB" w14:textId="77777777" w:rsidR="001B4D4A" w:rsidRDefault="001B4D4A" w:rsidP="00480BAD">
      <w:pPr>
        <w:ind w:left="360"/>
        <w:rPr>
          <w:rFonts w:cs="Arial"/>
          <w:b/>
          <w:i/>
          <w:sz w:val="20"/>
          <w:szCs w:val="20"/>
        </w:rPr>
      </w:pPr>
    </w:p>
    <w:p w14:paraId="42DB84F1" w14:textId="77777777" w:rsidR="00D073EE"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7A87F43B" w14:textId="77777777" w:rsidR="00B8365C" w:rsidRDefault="00A32AE2" w:rsidP="00480BAD">
      <w:pPr>
        <w:ind w:left="360"/>
        <w:rPr>
          <w:rFonts w:cs="Arial"/>
          <w:sz w:val="20"/>
          <w:szCs w:val="20"/>
        </w:rPr>
      </w:pPr>
      <w:r w:rsidRPr="00D073EE">
        <w:rPr>
          <w:rFonts w:cs="Arial"/>
          <w:sz w:val="20"/>
          <w:szCs w:val="20"/>
        </w:rPr>
        <w:t xml:space="preserve">The rebate is </w:t>
      </w:r>
      <w:r w:rsidR="001245B8">
        <w:rPr>
          <w:rFonts w:cs="Arial"/>
          <w:sz w:val="20"/>
          <w:szCs w:val="20"/>
        </w:rPr>
        <w:t xml:space="preserve">downstream </w:t>
      </w:r>
      <w:r w:rsidRPr="00D073EE">
        <w:rPr>
          <w:rFonts w:cs="Arial"/>
          <w:sz w:val="20"/>
          <w:szCs w:val="20"/>
        </w:rPr>
        <w:t xml:space="preserve">provided to the </w:t>
      </w:r>
      <w:r w:rsidR="001245B8">
        <w:rPr>
          <w:rFonts w:cs="Arial"/>
          <w:sz w:val="20"/>
          <w:szCs w:val="20"/>
        </w:rPr>
        <w:t>customer</w:t>
      </w:r>
      <w:r w:rsidRPr="00D073EE">
        <w:rPr>
          <w:rFonts w:cs="Arial"/>
          <w:sz w:val="20"/>
          <w:szCs w:val="20"/>
        </w:rPr>
        <w:t xml:space="preserve"> at the time of</w:t>
      </w:r>
      <w:r w:rsidR="001245B8">
        <w:rPr>
          <w:rFonts w:cs="Arial"/>
          <w:sz w:val="20"/>
          <w:szCs w:val="20"/>
        </w:rPr>
        <w:t xml:space="preserve"> sale</w:t>
      </w:r>
      <w:r w:rsidRPr="00D073EE">
        <w:rPr>
          <w:rFonts w:cs="Arial"/>
          <w:sz w:val="20"/>
          <w:szCs w:val="20"/>
        </w:rPr>
        <w:t xml:space="preserve"> u</w:t>
      </w:r>
      <w:r w:rsidR="001245B8">
        <w:rPr>
          <w:rFonts w:cs="Arial"/>
          <w:sz w:val="20"/>
          <w:szCs w:val="20"/>
        </w:rPr>
        <w:t xml:space="preserve">pon receipt of application and invoice. </w:t>
      </w:r>
    </w:p>
    <w:p w14:paraId="4CB16934" w14:textId="77777777" w:rsidR="00B8365C" w:rsidRDefault="00B8365C" w:rsidP="00480BAD">
      <w:pPr>
        <w:ind w:left="360"/>
        <w:rPr>
          <w:rFonts w:cs="Arial"/>
          <w:sz w:val="20"/>
          <w:szCs w:val="20"/>
        </w:rPr>
      </w:pPr>
    </w:p>
    <w:p w14:paraId="4D1DCDC6" w14:textId="77777777" w:rsidR="00521920" w:rsidRPr="00D073EE" w:rsidRDefault="00B8365C" w:rsidP="00480BAD">
      <w:pPr>
        <w:ind w:left="360"/>
        <w:rPr>
          <w:rFonts w:cs="Arial"/>
          <w:b/>
          <w:i/>
          <w:sz w:val="20"/>
          <w:szCs w:val="20"/>
        </w:rPr>
      </w:pPr>
      <w:r>
        <w:rPr>
          <w:rFonts w:cs="Arial"/>
          <w:sz w:val="20"/>
          <w:szCs w:val="20"/>
        </w:rPr>
        <w:t xml:space="preserve">This measure may also be used in a </w:t>
      </w:r>
      <w:r w:rsidR="00577237">
        <w:rPr>
          <w:rFonts w:cs="Arial"/>
          <w:sz w:val="20"/>
          <w:szCs w:val="20"/>
        </w:rPr>
        <w:t>Direct I</w:t>
      </w:r>
      <w:r w:rsidR="00A32AE2" w:rsidRPr="00D073EE">
        <w:rPr>
          <w:rFonts w:cs="Arial"/>
          <w:sz w:val="20"/>
          <w:szCs w:val="20"/>
        </w:rPr>
        <w:t>nstall program.</w:t>
      </w:r>
    </w:p>
    <w:p w14:paraId="0B6C15A0" w14:textId="77777777" w:rsidR="003E7422" w:rsidRDefault="003E7422" w:rsidP="00480BAD">
      <w:pPr>
        <w:ind w:left="360"/>
        <w:rPr>
          <w:rFonts w:cs="Arial"/>
          <w:b/>
          <w:i/>
          <w:sz w:val="20"/>
          <w:szCs w:val="20"/>
        </w:rPr>
      </w:pPr>
    </w:p>
    <w:p w14:paraId="4C8655CB" w14:textId="77777777" w:rsidR="001245B8" w:rsidRDefault="00521920" w:rsidP="001245B8">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58962F33" w14:textId="77777777" w:rsidR="001245B8" w:rsidRDefault="001245B8" w:rsidP="001245B8">
      <w:pPr>
        <w:ind w:left="360"/>
        <w:rPr>
          <w:sz w:val="20"/>
        </w:rPr>
      </w:pPr>
      <w:r w:rsidRPr="001245B8">
        <w:rPr>
          <w:sz w:val="20"/>
        </w:rPr>
        <w:t>This measure is applicable for hotels</w:t>
      </w:r>
      <w:r w:rsidR="00B8365C">
        <w:rPr>
          <w:sz w:val="20"/>
        </w:rPr>
        <w:t>, health centers, nursing homes, and correctional facilities.</w:t>
      </w:r>
      <w:r w:rsidRPr="001245B8">
        <w:rPr>
          <w:sz w:val="20"/>
        </w:rPr>
        <w:t xml:space="preserve"> Data for health centers from three NRR applications show gas savings consistent with that of hotels.  However, it will currently be assumed that health centers will use the same measure energy savings that are calculated for hotels.  This measure is </w:t>
      </w:r>
      <w:r w:rsidRPr="007C1E01">
        <w:rPr>
          <w:sz w:val="20"/>
          <w:u w:val="single"/>
        </w:rPr>
        <w:t>not applicable</w:t>
      </w:r>
      <w:r w:rsidRPr="001245B8">
        <w:rPr>
          <w:sz w:val="20"/>
        </w:rPr>
        <w:t xml:space="preserve"> to residential or multi-family facilities. </w:t>
      </w:r>
    </w:p>
    <w:p w14:paraId="149DAB4B" w14:textId="77777777" w:rsidR="001245B8" w:rsidRDefault="001245B8" w:rsidP="001245B8"/>
    <w:p w14:paraId="7FC12812" w14:textId="77777777" w:rsidR="001245B8" w:rsidRPr="001245B8" w:rsidRDefault="001245B8" w:rsidP="001245B8">
      <w:pPr>
        <w:rPr>
          <w:rFonts w:cs="Arial"/>
          <w:sz w:val="20"/>
          <w:szCs w:val="20"/>
        </w:rPr>
      </w:pPr>
      <w:r w:rsidRPr="001245B8">
        <w:rPr>
          <w:rFonts w:cs="Arial"/>
          <w:sz w:val="20"/>
          <w:szCs w:val="20"/>
        </w:rPr>
        <w:fldChar w:fldCharType="begin"/>
      </w:r>
      <w:r w:rsidRPr="001245B8">
        <w:rPr>
          <w:rFonts w:cs="Arial"/>
          <w:sz w:val="20"/>
          <w:szCs w:val="20"/>
        </w:rPr>
        <w:instrText xml:space="preserve"> REF _Ref240703790 \h  \* MERGEFORMAT </w:instrText>
      </w:r>
      <w:r w:rsidRPr="001245B8">
        <w:rPr>
          <w:rFonts w:cs="Arial"/>
          <w:sz w:val="20"/>
          <w:szCs w:val="20"/>
        </w:rPr>
      </w:r>
      <w:r w:rsidRPr="001245B8">
        <w:rPr>
          <w:rFonts w:cs="Arial"/>
          <w:sz w:val="20"/>
          <w:szCs w:val="20"/>
        </w:rPr>
        <w:fldChar w:fldCharType="separate"/>
      </w:r>
      <w:r w:rsidRPr="001245B8">
        <w:rPr>
          <w:rFonts w:cs="Arial"/>
          <w:sz w:val="20"/>
          <w:szCs w:val="20"/>
        </w:rPr>
        <w:t xml:space="preserve">Table </w:t>
      </w:r>
      <w:r w:rsidRPr="001245B8">
        <w:rPr>
          <w:rFonts w:cs="Arial"/>
          <w:noProof/>
          <w:sz w:val="20"/>
          <w:szCs w:val="20"/>
        </w:rPr>
        <w:t>1</w:t>
      </w:r>
      <w:r w:rsidRPr="001245B8">
        <w:rPr>
          <w:rFonts w:cs="Arial"/>
          <w:sz w:val="20"/>
          <w:szCs w:val="20"/>
        </w:rPr>
        <w:fldChar w:fldCharType="end"/>
      </w:r>
      <w:r w:rsidRPr="001245B8">
        <w:rPr>
          <w:rFonts w:cs="Arial"/>
          <w:sz w:val="20"/>
          <w:szCs w:val="20"/>
        </w:rPr>
        <w:t xml:space="preserve"> below shows the market potential savings from ozone across a variety of market sectors. Detailed calculations regarding the market potential calculations can be found in the appendix.</w:t>
      </w:r>
    </w:p>
    <w:p w14:paraId="302B33D9" w14:textId="77777777" w:rsidR="001245B8" w:rsidRPr="001245B8" w:rsidRDefault="001245B8" w:rsidP="001245B8">
      <w:pPr>
        <w:rPr>
          <w:rFonts w:cs="Arial"/>
          <w:sz w:val="20"/>
          <w:szCs w:val="20"/>
        </w:rPr>
      </w:pPr>
    </w:p>
    <w:p w14:paraId="0470E8AC" w14:textId="77777777" w:rsidR="00C95648" w:rsidRDefault="00C95648">
      <w:pPr>
        <w:rPr>
          <w:rFonts w:cs="Arial"/>
          <w:b/>
          <w:bCs/>
          <w:sz w:val="20"/>
          <w:szCs w:val="20"/>
        </w:rPr>
      </w:pPr>
      <w:bookmarkStart w:id="38" w:name="_Ref240703790"/>
      <w:bookmarkStart w:id="39" w:name="_Toc239835022"/>
      <w:bookmarkStart w:id="40" w:name="_Toc240703732"/>
      <w:r>
        <w:rPr>
          <w:rFonts w:cs="Arial"/>
          <w:sz w:val="20"/>
        </w:rPr>
        <w:br w:type="page"/>
      </w:r>
    </w:p>
    <w:p w14:paraId="7A9AC3FB" w14:textId="77777777" w:rsidR="001245B8" w:rsidRPr="001245B8" w:rsidRDefault="001245B8" w:rsidP="001245B8">
      <w:pPr>
        <w:pStyle w:val="StyleCaption12ptCentered"/>
        <w:rPr>
          <w:rFonts w:ascii="Arial" w:hAnsi="Arial" w:cs="Arial"/>
          <w:sz w:val="20"/>
        </w:rPr>
      </w:pPr>
      <w:bookmarkStart w:id="41" w:name="_Toc491176169"/>
      <w:r w:rsidRPr="001245B8">
        <w:rPr>
          <w:rFonts w:ascii="Arial" w:hAnsi="Arial" w:cs="Arial"/>
          <w:sz w:val="20"/>
        </w:rPr>
        <w:lastRenderedPageBreak/>
        <w:t xml:space="preserve">Table </w:t>
      </w:r>
      <w:r w:rsidRPr="001245B8">
        <w:rPr>
          <w:rFonts w:ascii="Arial" w:hAnsi="Arial" w:cs="Arial"/>
          <w:sz w:val="20"/>
        </w:rPr>
        <w:fldChar w:fldCharType="begin"/>
      </w:r>
      <w:r w:rsidRPr="001245B8">
        <w:rPr>
          <w:rFonts w:ascii="Arial" w:hAnsi="Arial" w:cs="Arial"/>
          <w:sz w:val="20"/>
        </w:rPr>
        <w:instrText xml:space="preserve"> SEQ Table \* ARABIC \s 1 </w:instrText>
      </w:r>
      <w:r w:rsidRPr="001245B8">
        <w:rPr>
          <w:rFonts w:ascii="Arial" w:hAnsi="Arial" w:cs="Arial"/>
          <w:sz w:val="20"/>
        </w:rPr>
        <w:fldChar w:fldCharType="separate"/>
      </w:r>
      <w:r w:rsidRPr="001245B8">
        <w:rPr>
          <w:rFonts w:ascii="Arial" w:hAnsi="Arial" w:cs="Arial"/>
          <w:noProof/>
          <w:sz w:val="20"/>
        </w:rPr>
        <w:t>1</w:t>
      </w:r>
      <w:r w:rsidRPr="001245B8">
        <w:rPr>
          <w:rFonts w:ascii="Arial" w:hAnsi="Arial" w:cs="Arial"/>
          <w:sz w:val="20"/>
        </w:rPr>
        <w:fldChar w:fldCharType="end"/>
      </w:r>
      <w:bookmarkEnd w:id="38"/>
      <w:r w:rsidRPr="001245B8">
        <w:rPr>
          <w:rFonts w:ascii="Arial" w:hAnsi="Arial" w:cs="Arial"/>
          <w:sz w:val="20"/>
        </w:rPr>
        <w:t xml:space="preserve">  Market Potential</w:t>
      </w:r>
      <w:bookmarkEnd w:id="39"/>
      <w:bookmarkEnd w:id="40"/>
      <w:bookmarkEnd w:id="41"/>
    </w:p>
    <w:p w14:paraId="1E5D688D" w14:textId="77777777" w:rsidR="001245B8" w:rsidRPr="001245B8" w:rsidRDefault="001245B8" w:rsidP="001245B8">
      <w:pPr>
        <w:jc w:val="center"/>
        <w:rPr>
          <w:rFonts w:cs="Arial"/>
          <w:sz w:val="20"/>
          <w:szCs w:val="20"/>
        </w:rPr>
      </w:pPr>
      <w:r w:rsidRPr="001245B8">
        <w:rPr>
          <w:rFonts w:cs="Arial"/>
          <w:sz w:val="20"/>
          <w:szCs w:val="20"/>
        </w:rPr>
        <w:t xml:space="preserve"> </w:t>
      </w:r>
    </w:p>
    <w:tbl>
      <w:tblPr>
        <w:tblW w:w="6347" w:type="dxa"/>
        <w:jc w:val="center"/>
        <w:tblLook w:val="0000" w:firstRow="0" w:lastRow="0" w:firstColumn="0" w:lastColumn="0" w:noHBand="0" w:noVBand="0"/>
      </w:tblPr>
      <w:tblGrid>
        <w:gridCol w:w="2340"/>
        <w:gridCol w:w="1061"/>
        <w:gridCol w:w="1496"/>
        <w:gridCol w:w="1450"/>
      </w:tblGrid>
      <w:tr w:rsidR="001245B8" w:rsidRPr="001245B8" w14:paraId="32DEC106" w14:textId="77777777" w:rsidTr="008B383E">
        <w:trPr>
          <w:trHeight w:val="720"/>
          <w:jc w:val="center"/>
        </w:trPr>
        <w:tc>
          <w:tcPr>
            <w:tcW w:w="2340" w:type="dxa"/>
            <w:tcBorders>
              <w:top w:val="single" w:sz="4" w:space="0" w:color="auto"/>
              <w:left w:val="single" w:sz="4" w:space="0" w:color="auto"/>
              <w:bottom w:val="nil"/>
              <w:right w:val="nil"/>
            </w:tcBorders>
            <w:shd w:val="clear" w:color="auto" w:fill="FFFFFF"/>
            <w:vAlign w:val="center"/>
          </w:tcPr>
          <w:p w14:paraId="0080A026" w14:textId="77777777" w:rsidR="001245B8" w:rsidRPr="001245B8" w:rsidRDefault="001245B8" w:rsidP="008B383E">
            <w:pPr>
              <w:jc w:val="center"/>
              <w:rPr>
                <w:rFonts w:cs="Arial"/>
                <w:b/>
                <w:bCs/>
                <w:sz w:val="20"/>
                <w:szCs w:val="20"/>
              </w:rPr>
            </w:pPr>
            <w:r w:rsidRPr="001245B8">
              <w:rPr>
                <w:rFonts w:cs="Arial"/>
                <w:b/>
                <w:bCs/>
                <w:sz w:val="20"/>
                <w:szCs w:val="20"/>
              </w:rPr>
              <w:t>Market Sector</w:t>
            </w:r>
          </w:p>
        </w:tc>
        <w:tc>
          <w:tcPr>
            <w:tcW w:w="1061" w:type="dxa"/>
            <w:tcBorders>
              <w:top w:val="single" w:sz="4" w:space="0" w:color="auto"/>
              <w:left w:val="single" w:sz="4" w:space="0" w:color="auto"/>
              <w:bottom w:val="single" w:sz="4" w:space="0" w:color="auto"/>
              <w:right w:val="single" w:sz="4" w:space="0" w:color="auto"/>
            </w:tcBorders>
            <w:shd w:val="clear" w:color="auto" w:fill="FFFFFF"/>
            <w:vAlign w:val="center"/>
          </w:tcPr>
          <w:p w14:paraId="618C8AC0" w14:textId="77777777" w:rsidR="001245B8" w:rsidRPr="001245B8" w:rsidRDefault="001245B8" w:rsidP="008B383E">
            <w:pPr>
              <w:jc w:val="center"/>
              <w:rPr>
                <w:rFonts w:cs="Arial"/>
                <w:sz w:val="20"/>
                <w:szCs w:val="20"/>
              </w:rPr>
            </w:pPr>
            <w:r w:rsidRPr="001245B8">
              <w:rPr>
                <w:rFonts w:cs="Arial"/>
                <w:sz w:val="20"/>
                <w:szCs w:val="20"/>
              </w:rPr>
              <w:t># of Facilities in California</w:t>
            </w:r>
          </w:p>
        </w:tc>
        <w:tc>
          <w:tcPr>
            <w:tcW w:w="1496" w:type="dxa"/>
            <w:tcBorders>
              <w:top w:val="single" w:sz="4" w:space="0" w:color="auto"/>
              <w:left w:val="nil"/>
              <w:bottom w:val="single" w:sz="4" w:space="0" w:color="auto"/>
              <w:right w:val="single" w:sz="4" w:space="0" w:color="auto"/>
            </w:tcBorders>
            <w:shd w:val="clear" w:color="auto" w:fill="FFFFFF"/>
            <w:vAlign w:val="center"/>
          </w:tcPr>
          <w:p w14:paraId="67B3C363" w14:textId="77777777" w:rsidR="001245B8" w:rsidRPr="001245B8" w:rsidRDefault="001245B8" w:rsidP="008B383E">
            <w:pPr>
              <w:jc w:val="center"/>
              <w:rPr>
                <w:rFonts w:cs="Arial"/>
                <w:sz w:val="20"/>
                <w:szCs w:val="20"/>
              </w:rPr>
            </w:pPr>
            <w:r w:rsidRPr="001245B8">
              <w:rPr>
                <w:rFonts w:cs="Arial"/>
                <w:sz w:val="20"/>
                <w:szCs w:val="20"/>
              </w:rPr>
              <w:t>Water Savings [Gal/year]</w:t>
            </w:r>
          </w:p>
        </w:tc>
        <w:tc>
          <w:tcPr>
            <w:tcW w:w="1450" w:type="dxa"/>
            <w:tcBorders>
              <w:top w:val="single" w:sz="4" w:space="0" w:color="auto"/>
              <w:left w:val="nil"/>
              <w:bottom w:val="single" w:sz="4" w:space="0" w:color="auto"/>
              <w:right w:val="single" w:sz="4" w:space="0" w:color="auto"/>
            </w:tcBorders>
            <w:shd w:val="clear" w:color="auto" w:fill="FFFFFF"/>
            <w:vAlign w:val="center"/>
          </w:tcPr>
          <w:p w14:paraId="765B97E2" w14:textId="77777777" w:rsidR="001245B8" w:rsidRPr="001245B8" w:rsidRDefault="001245B8" w:rsidP="008B383E">
            <w:pPr>
              <w:jc w:val="center"/>
              <w:rPr>
                <w:rFonts w:cs="Arial"/>
                <w:sz w:val="20"/>
                <w:szCs w:val="20"/>
              </w:rPr>
            </w:pPr>
            <w:r w:rsidRPr="001245B8">
              <w:rPr>
                <w:rFonts w:cs="Arial"/>
                <w:sz w:val="20"/>
                <w:szCs w:val="20"/>
              </w:rPr>
              <w:t>Gas Savings [</w:t>
            </w:r>
            <w:proofErr w:type="spellStart"/>
            <w:r w:rsidRPr="001245B8">
              <w:rPr>
                <w:rFonts w:cs="Arial"/>
                <w:sz w:val="20"/>
                <w:szCs w:val="20"/>
              </w:rPr>
              <w:t>Therms</w:t>
            </w:r>
            <w:proofErr w:type="spellEnd"/>
            <w:r w:rsidRPr="001245B8">
              <w:rPr>
                <w:rFonts w:cs="Arial"/>
                <w:sz w:val="20"/>
                <w:szCs w:val="20"/>
              </w:rPr>
              <w:t>/year]</w:t>
            </w:r>
          </w:p>
        </w:tc>
      </w:tr>
      <w:tr w:rsidR="001245B8" w:rsidRPr="001245B8" w14:paraId="1DCE5696" w14:textId="77777777" w:rsidTr="008B383E">
        <w:trPr>
          <w:trHeight w:val="510"/>
          <w:jc w:val="center"/>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69FC9D7" w14:textId="77777777" w:rsidR="001245B8" w:rsidRPr="001245B8" w:rsidRDefault="001245B8" w:rsidP="008B383E">
            <w:pPr>
              <w:jc w:val="center"/>
              <w:rPr>
                <w:rFonts w:cs="Arial"/>
                <w:sz w:val="20"/>
                <w:szCs w:val="20"/>
              </w:rPr>
            </w:pPr>
            <w:r w:rsidRPr="001245B8">
              <w:rPr>
                <w:rFonts w:cs="Arial"/>
                <w:sz w:val="20"/>
                <w:szCs w:val="20"/>
              </w:rPr>
              <w:t xml:space="preserve">Hospitality [hotels/motels] </w:t>
            </w:r>
            <w:r w:rsidRPr="001245B8">
              <w:rPr>
                <w:rStyle w:val="EndnoteReference"/>
                <w:rFonts w:cs="Arial"/>
                <w:sz w:val="20"/>
                <w:szCs w:val="20"/>
              </w:rPr>
              <w:endnoteReference w:id="2"/>
            </w:r>
          </w:p>
        </w:tc>
        <w:tc>
          <w:tcPr>
            <w:tcW w:w="1061" w:type="dxa"/>
            <w:tcBorders>
              <w:top w:val="nil"/>
              <w:left w:val="nil"/>
              <w:bottom w:val="single" w:sz="4" w:space="0" w:color="auto"/>
              <w:right w:val="single" w:sz="4" w:space="0" w:color="auto"/>
            </w:tcBorders>
            <w:shd w:val="clear" w:color="auto" w:fill="auto"/>
            <w:vAlign w:val="center"/>
          </w:tcPr>
          <w:p w14:paraId="68D6E2CA" w14:textId="77777777" w:rsidR="001245B8" w:rsidRPr="001245B8" w:rsidRDefault="001245B8" w:rsidP="008B383E">
            <w:pPr>
              <w:jc w:val="center"/>
              <w:rPr>
                <w:rFonts w:cs="Arial"/>
                <w:sz w:val="20"/>
                <w:szCs w:val="20"/>
              </w:rPr>
            </w:pPr>
            <w:r w:rsidRPr="001245B8">
              <w:rPr>
                <w:rFonts w:cs="Arial"/>
                <w:sz w:val="20"/>
                <w:szCs w:val="20"/>
              </w:rPr>
              <w:t>5,480</w:t>
            </w:r>
          </w:p>
        </w:tc>
        <w:tc>
          <w:tcPr>
            <w:tcW w:w="1496" w:type="dxa"/>
            <w:tcBorders>
              <w:top w:val="nil"/>
              <w:left w:val="nil"/>
              <w:bottom w:val="single" w:sz="4" w:space="0" w:color="auto"/>
              <w:right w:val="single" w:sz="4" w:space="0" w:color="auto"/>
            </w:tcBorders>
            <w:shd w:val="clear" w:color="auto" w:fill="auto"/>
            <w:vAlign w:val="center"/>
          </w:tcPr>
          <w:p w14:paraId="16C740CB" w14:textId="77777777" w:rsidR="001245B8" w:rsidRPr="001245B8" w:rsidRDefault="001245B8" w:rsidP="008B383E">
            <w:pPr>
              <w:jc w:val="center"/>
              <w:rPr>
                <w:rFonts w:cs="Arial"/>
                <w:sz w:val="20"/>
                <w:szCs w:val="20"/>
              </w:rPr>
            </w:pPr>
            <w:r w:rsidRPr="001245B8">
              <w:rPr>
                <w:rFonts w:cs="Arial"/>
                <w:sz w:val="20"/>
                <w:szCs w:val="20"/>
              </w:rPr>
              <w:t>774,138,346</w:t>
            </w:r>
          </w:p>
        </w:tc>
        <w:tc>
          <w:tcPr>
            <w:tcW w:w="1450" w:type="dxa"/>
            <w:tcBorders>
              <w:top w:val="nil"/>
              <w:left w:val="nil"/>
              <w:bottom w:val="single" w:sz="4" w:space="0" w:color="auto"/>
              <w:right w:val="single" w:sz="4" w:space="0" w:color="auto"/>
            </w:tcBorders>
            <w:shd w:val="clear" w:color="auto" w:fill="auto"/>
            <w:noWrap/>
            <w:vAlign w:val="center"/>
          </w:tcPr>
          <w:p w14:paraId="750D6450" w14:textId="77777777" w:rsidR="001245B8" w:rsidRPr="001245B8" w:rsidRDefault="001245B8" w:rsidP="008B383E">
            <w:pPr>
              <w:jc w:val="center"/>
              <w:rPr>
                <w:rFonts w:cs="Arial"/>
                <w:sz w:val="20"/>
                <w:szCs w:val="20"/>
              </w:rPr>
            </w:pPr>
            <w:r w:rsidRPr="001245B8">
              <w:rPr>
                <w:rFonts w:cs="Arial"/>
                <w:sz w:val="20"/>
                <w:szCs w:val="20"/>
              </w:rPr>
              <w:t>10,904,499</w:t>
            </w:r>
          </w:p>
        </w:tc>
      </w:tr>
      <w:tr w:rsidR="001245B8" w:rsidRPr="001245B8" w14:paraId="52E208AB"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vAlign w:val="center"/>
          </w:tcPr>
          <w:p w14:paraId="0FDC8659" w14:textId="77777777" w:rsidR="001245B8" w:rsidRPr="001245B8" w:rsidRDefault="001245B8" w:rsidP="008B383E">
            <w:pPr>
              <w:jc w:val="center"/>
              <w:rPr>
                <w:rFonts w:cs="Arial"/>
                <w:sz w:val="20"/>
                <w:szCs w:val="20"/>
              </w:rPr>
            </w:pPr>
            <w:r w:rsidRPr="001245B8">
              <w:rPr>
                <w:rFonts w:cs="Arial"/>
                <w:sz w:val="20"/>
                <w:szCs w:val="20"/>
              </w:rPr>
              <w:t xml:space="preserve">Nursing Homes </w:t>
            </w:r>
            <w:r w:rsidRPr="001245B8">
              <w:rPr>
                <w:rStyle w:val="EndnoteReference"/>
                <w:rFonts w:cs="Arial"/>
                <w:sz w:val="20"/>
                <w:szCs w:val="20"/>
              </w:rPr>
              <w:endnoteReference w:id="3"/>
            </w:r>
          </w:p>
        </w:tc>
        <w:tc>
          <w:tcPr>
            <w:tcW w:w="1061" w:type="dxa"/>
            <w:tcBorders>
              <w:top w:val="nil"/>
              <w:left w:val="nil"/>
              <w:bottom w:val="single" w:sz="4" w:space="0" w:color="auto"/>
              <w:right w:val="single" w:sz="4" w:space="0" w:color="auto"/>
            </w:tcBorders>
            <w:shd w:val="clear" w:color="auto" w:fill="auto"/>
            <w:vAlign w:val="center"/>
          </w:tcPr>
          <w:p w14:paraId="0C75041C" w14:textId="77777777" w:rsidR="001245B8" w:rsidRPr="001245B8" w:rsidRDefault="001245B8" w:rsidP="008B383E">
            <w:pPr>
              <w:jc w:val="center"/>
              <w:rPr>
                <w:rFonts w:cs="Arial"/>
                <w:sz w:val="20"/>
                <w:szCs w:val="20"/>
              </w:rPr>
            </w:pPr>
            <w:r w:rsidRPr="001245B8">
              <w:rPr>
                <w:rFonts w:cs="Arial"/>
                <w:sz w:val="20"/>
                <w:szCs w:val="20"/>
              </w:rPr>
              <w:t>1,274</w:t>
            </w:r>
          </w:p>
        </w:tc>
        <w:tc>
          <w:tcPr>
            <w:tcW w:w="1496" w:type="dxa"/>
            <w:tcBorders>
              <w:top w:val="nil"/>
              <w:left w:val="nil"/>
              <w:bottom w:val="single" w:sz="4" w:space="0" w:color="auto"/>
              <w:right w:val="single" w:sz="4" w:space="0" w:color="auto"/>
            </w:tcBorders>
            <w:shd w:val="clear" w:color="auto" w:fill="auto"/>
            <w:vAlign w:val="center"/>
          </w:tcPr>
          <w:p w14:paraId="002B5ED2" w14:textId="77777777" w:rsidR="001245B8" w:rsidRPr="001245B8" w:rsidRDefault="001245B8" w:rsidP="008B383E">
            <w:pPr>
              <w:jc w:val="center"/>
              <w:rPr>
                <w:rFonts w:cs="Arial"/>
                <w:sz w:val="20"/>
                <w:szCs w:val="20"/>
              </w:rPr>
            </w:pPr>
            <w:r w:rsidRPr="001245B8">
              <w:rPr>
                <w:rFonts w:cs="Arial"/>
                <w:sz w:val="20"/>
                <w:szCs w:val="20"/>
              </w:rPr>
              <w:t>170,266,358</w:t>
            </w:r>
          </w:p>
        </w:tc>
        <w:tc>
          <w:tcPr>
            <w:tcW w:w="1450" w:type="dxa"/>
            <w:tcBorders>
              <w:top w:val="nil"/>
              <w:left w:val="nil"/>
              <w:bottom w:val="single" w:sz="4" w:space="0" w:color="auto"/>
              <w:right w:val="single" w:sz="4" w:space="0" w:color="auto"/>
            </w:tcBorders>
            <w:shd w:val="clear" w:color="auto" w:fill="auto"/>
            <w:noWrap/>
            <w:vAlign w:val="center"/>
          </w:tcPr>
          <w:p w14:paraId="1AE15E0E" w14:textId="77777777" w:rsidR="001245B8" w:rsidRPr="001245B8" w:rsidRDefault="001245B8" w:rsidP="008B383E">
            <w:pPr>
              <w:jc w:val="center"/>
              <w:rPr>
                <w:rFonts w:cs="Arial"/>
                <w:sz w:val="20"/>
                <w:szCs w:val="20"/>
              </w:rPr>
            </w:pPr>
            <w:r w:rsidRPr="001245B8">
              <w:rPr>
                <w:rFonts w:cs="Arial"/>
                <w:sz w:val="20"/>
                <w:szCs w:val="20"/>
              </w:rPr>
              <w:t>2,398,369</w:t>
            </w:r>
          </w:p>
        </w:tc>
      </w:tr>
      <w:tr w:rsidR="001245B8" w:rsidRPr="001245B8" w14:paraId="3F6453E9"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44735838" w14:textId="77777777" w:rsidR="001245B8" w:rsidRPr="001245B8" w:rsidRDefault="001245B8" w:rsidP="008B383E">
            <w:pPr>
              <w:jc w:val="center"/>
              <w:rPr>
                <w:rFonts w:cs="Arial"/>
                <w:sz w:val="20"/>
                <w:szCs w:val="20"/>
              </w:rPr>
            </w:pPr>
            <w:r w:rsidRPr="001245B8">
              <w:rPr>
                <w:rFonts w:cs="Arial"/>
                <w:sz w:val="20"/>
                <w:szCs w:val="20"/>
              </w:rPr>
              <w:t xml:space="preserve">State Prisons </w:t>
            </w:r>
            <w:r w:rsidRPr="001245B8">
              <w:rPr>
                <w:rStyle w:val="EndnoteReference"/>
                <w:rFonts w:cs="Arial"/>
                <w:sz w:val="20"/>
                <w:szCs w:val="20"/>
              </w:rPr>
              <w:endnoteReference w:id="4"/>
            </w:r>
          </w:p>
        </w:tc>
        <w:tc>
          <w:tcPr>
            <w:tcW w:w="1061" w:type="dxa"/>
            <w:tcBorders>
              <w:top w:val="nil"/>
              <w:left w:val="nil"/>
              <w:bottom w:val="single" w:sz="4" w:space="0" w:color="auto"/>
              <w:right w:val="single" w:sz="4" w:space="0" w:color="auto"/>
            </w:tcBorders>
            <w:shd w:val="clear" w:color="auto" w:fill="auto"/>
            <w:noWrap/>
            <w:vAlign w:val="center"/>
          </w:tcPr>
          <w:p w14:paraId="28874F3D" w14:textId="77777777" w:rsidR="001245B8" w:rsidRPr="001245B8" w:rsidRDefault="001245B8" w:rsidP="008B383E">
            <w:pPr>
              <w:jc w:val="center"/>
              <w:rPr>
                <w:rFonts w:cs="Arial"/>
                <w:sz w:val="20"/>
                <w:szCs w:val="20"/>
              </w:rPr>
            </w:pPr>
            <w:r w:rsidRPr="001245B8">
              <w:rPr>
                <w:rFonts w:cs="Arial"/>
                <w:sz w:val="20"/>
                <w:szCs w:val="20"/>
              </w:rPr>
              <w:t>33</w:t>
            </w:r>
          </w:p>
        </w:tc>
        <w:tc>
          <w:tcPr>
            <w:tcW w:w="1496" w:type="dxa"/>
            <w:tcBorders>
              <w:top w:val="nil"/>
              <w:left w:val="nil"/>
              <w:bottom w:val="single" w:sz="4" w:space="0" w:color="auto"/>
              <w:right w:val="single" w:sz="4" w:space="0" w:color="auto"/>
            </w:tcBorders>
            <w:shd w:val="clear" w:color="auto" w:fill="auto"/>
            <w:vAlign w:val="center"/>
          </w:tcPr>
          <w:p w14:paraId="69F79B0B" w14:textId="77777777" w:rsidR="001245B8" w:rsidRPr="001245B8" w:rsidRDefault="001245B8" w:rsidP="008B383E">
            <w:pPr>
              <w:jc w:val="center"/>
              <w:rPr>
                <w:rFonts w:cs="Arial"/>
                <w:sz w:val="20"/>
                <w:szCs w:val="20"/>
              </w:rPr>
            </w:pPr>
            <w:r w:rsidRPr="001245B8">
              <w:rPr>
                <w:rFonts w:cs="Arial"/>
                <w:sz w:val="20"/>
                <w:szCs w:val="20"/>
              </w:rPr>
              <w:t>251,445,378</w:t>
            </w:r>
          </w:p>
        </w:tc>
        <w:tc>
          <w:tcPr>
            <w:tcW w:w="1450" w:type="dxa"/>
            <w:tcBorders>
              <w:top w:val="nil"/>
              <w:left w:val="nil"/>
              <w:bottom w:val="single" w:sz="4" w:space="0" w:color="auto"/>
              <w:right w:val="single" w:sz="4" w:space="0" w:color="auto"/>
            </w:tcBorders>
            <w:shd w:val="clear" w:color="auto" w:fill="auto"/>
            <w:noWrap/>
            <w:vAlign w:val="center"/>
          </w:tcPr>
          <w:p w14:paraId="5B03E490" w14:textId="77777777" w:rsidR="001245B8" w:rsidRPr="001245B8" w:rsidRDefault="001245B8" w:rsidP="008B383E">
            <w:pPr>
              <w:jc w:val="center"/>
              <w:rPr>
                <w:rFonts w:cs="Arial"/>
                <w:sz w:val="20"/>
                <w:szCs w:val="20"/>
              </w:rPr>
            </w:pPr>
            <w:r w:rsidRPr="001245B8">
              <w:rPr>
                <w:rFonts w:cs="Arial"/>
                <w:sz w:val="20"/>
                <w:szCs w:val="20"/>
              </w:rPr>
              <w:t>3,541,855</w:t>
            </w:r>
          </w:p>
        </w:tc>
      </w:tr>
      <w:tr w:rsidR="001245B8" w:rsidRPr="001245B8" w14:paraId="36D612A9" w14:textId="77777777" w:rsidTr="008B383E">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06F3E532" w14:textId="77777777" w:rsidR="001245B8" w:rsidRPr="001245B8" w:rsidRDefault="001245B8" w:rsidP="008B383E">
            <w:pPr>
              <w:jc w:val="center"/>
              <w:rPr>
                <w:rFonts w:cs="Arial"/>
                <w:sz w:val="20"/>
                <w:szCs w:val="20"/>
              </w:rPr>
            </w:pPr>
            <w:r w:rsidRPr="001245B8">
              <w:rPr>
                <w:rFonts w:cs="Arial"/>
                <w:sz w:val="20"/>
                <w:szCs w:val="20"/>
              </w:rPr>
              <w:t xml:space="preserve">County Jails </w:t>
            </w:r>
            <w:r w:rsidRPr="001245B8">
              <w:rPr>
                <w:rStyle w:val="EndnoteReference"/>
                <w:rFonts w:cs="Arial"/>
                <w:sz w:val="20"/>
                <w:szCs w:val="20"/>
              </w:rPr>
              <w:endnoteReference w:id="5"/>
            </w:r>
          </w:p>
        </w:tc>
        <w:tc>
          <w:tcPr>
            <w:tcW w:w="1061" w:type="dxa"/>
            <w:tcBorders>
              <w:top w:val="nil"/>
              <w:left w:val="nil"/>
              <w:bottom w:val="single" w:sz="4" w:space="0" w:color="auto"/>
              <w:right w:val="single" w:sz="4" w:space="0" w:color="auto"/>
            </w:tcBorders>
            <w:shd w:val="clear" w:color="auto" w:fill="auto"/>
            <w:vAlign w:val="center"/>
          </w:tcPr>
          <w:p w14:paraId="4E9C3E6B" w14:textId="77777777" w:rsidR="001245B8" w:rsidRPr="001245B8" w:rsidRDefault="001245B8" w:rsidP="008B383E">
            <w:pPr>
              <w:jc w:val="center"/>
              <w:rPr>
                <w:rFonts w:cs="Arial"/>
                <w:sz w:val="20"/>
                <w:szCs w:val="20"/>
              </w:rPr>
            </w:pPr>
            <w:r w:rsidRPr="001245B8">
              <w:rPr>
                <w:rFonts w:cs="Arial"/>
                <w:sz w:val="20"/>
                <w:szCs w:val="20"/>
              </w:rPr>
              <w:t>58</w:t>
            </w:r>
          </w:p>
        </w:tc>
        <w:tc>
          <w:tcPr>
            <w:tcW w:w="1496" w:type="dxa"/>
            <w:tcBorders>
              <w:top w:val="nil"/>
              <w:left w:val="nil"/>
              <w:bottom w:val="single" w:sz="4" w:space="0" w:color="auto"/>
              <w:right w:val="single" w:sz="4" w:space="0" w:color="auto"/>
            </w:tcBorders>
            <w:shd w:val="clear" w:color="auto" w:fill="auto"/>
            <w:vAlign w:val="center"/>
          </w:tcPr>
          <w:p w14:paraId="5B1363FD" w14:textId="77777777" w:rsidR="001245B8" w:rsidRPr="001245B8" w:rsidRDefault="001245B8" w:rsidP="008B383E">
            <w:pPr>
              <w:jc w:val="center"/>
              <w:rPr>
                <w:rFonts w:cs="Arial"/>
                <w:sz w:val="20"/>
                <w:szCs w:val="20"/>
              </w:rPr>
            </w:pPr>
            <w:r w:rsidRPr="001245B8">
              <w:rPr>
                <w:rFonts w:cs="Arial"/>
                <w:sz w:val="20"/>
                <w:szCs w:val="20"/>
              </w:rPr>
              <w:t>130,146,869</w:t>
            </w:r>
          </w:p>
        </w:tc>
        <w:tc>
          <w:tcPr>
            <w:tcW w:w="1450" w:type="dxa"/>
            <w:tcBorders>
              <w:top w:val="nil"/>
              <w:left w:val="nil"/>
              <w:bottom w:val="single" w:sz="4" w:space="0" w:color="auto"/>
              <w:right w:val="single" w:sz="4" w:space="0" w:color="auto"/>
            </w:tcBorders>
            <w:shd w:val="clear" w:color="auto" w:fill="auto"/>
            <w:noWrap/>
            <w:vAlign w:val="center"/>
          </w:tcPr>
          <w:p w14:paraId="11EFC7F1" w14:textId="77777777" w:rsidR="001245B8" w:rsidRPr="001245B8" w:rsidRDefault="001245B8" w:rsidP="008B383E">
            <w:pPr>
              <w:jc w:val="center"/>
              <w:rPr>
                <w:rFonts w:cs="Arial"/>
                <w:sz w:val="20"/>
                <w:szCs w:val="20"/>
              </w:rPr>
            </w:pPr>
            <w:r w:rsidRPr="001245B8">
              <w:rPr>
                <w:rFonts w:cs="Arial"/>
                <w:sz w:val="20"/>
                <w:szCs w:val="20"/>
              </w:rPr>
              <w:t>1,833,247</w:t>
            </w:r>
          </w:p>
        </w:tc>
      </w:tr>
      <w:tr w:rsidR="001245B8" w:rsidRPr="001245B8" w14:paraId="08086171"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4D96BA61" w14:textId="77777777" w:rsidR="001245B8" w:rsidRPr="001245B8" w:rsidRDefault="001245B8" w:rsidP="008B383E">
            <w:pPr>
              <w:jc w:val="center"/>
              <w:rPr>
                <w:rFonts w:cs="Arial"/>
                <w:sz w:val="20"/>
                <w:szCs w:val="20"/>
              </w:rPr>
            </w:pPr>
            <w:r w:rsidRPr="001245B8">
              <w:rPr>
                <w:rFonts w:cs="Arial"/>
                <w:sz w:val="20"/>
                <w:szCs w:val="20"/>
              </w:rPr>
              <w:t xml:space="preserve">Gymnasiums </w:t>
            </w:r>
            <w:bookmarkStart w:id="42" w:name="_Ref382901716"/>
            <w:r w:rsidRPr="001245B8">
              <w:rPr>
                <w:rStyle w:val="EndnoteReference"/>
                <w:rFonts w:cs="Arial"/>
                <w:sz w:val="20"/>
                <w:szCs w:val="20"/>
              </w:rPr>
              <w:endnoteReference w:id="6"/>
            </w:r>
            <w:bookmarkEnd w:id="42"/>
          </w:p>
        </w:tc>
        <w:tc>
          <w:tcPr>
            <w:tcW w:w="1061" w:type="dxa"/>
            <w:tcBorders>
              <w:top w:val="nil"/>
              <w:left w:val="nil"/>
              <w:bottom w:val="single" w:sz="4" w:space="0" w:color="auto"/>
              <w:right w:val="single" w:sz="4" w:space="0" w:color="auto"/>
            </w:tcBorders>
            <w:shd w:val="clear" w:color="auto" w:fill="auto"/>
            <w:vAlign w:val="center"/>
          </w:tcPr>
          <w:p w14:paraId="7FC31663" w14:textId="77777777" w:rsidR="001245B8" w:rsidRPr="001245B8" w:rsidRDefault="001245B8" w:rsidP="008B383E">
            <w:pPr>
              <w:jc w:val="center"/>
              <w:rPr>
                <w:rFonts w:cs="Arial"/>
                <w:sz w:val="20"/>
                <w:szCs w:val="20"/>
              </w:rPr>
            </w:pPr>
            <w:r w:rsidRPr="001245B8">
              <w:rPr>
                <w:rFonts w:cs="Arial"/>
                <w:sz w:val="20"/>
                <w:szCs w:val="20"/>
              </w:rPr>
              <w:t>3,337</w:t>
            </w:r>
          </w:p>
        </w:tc>
        <w:tc>
          <w:tcPr>
            <w:tcW w:w="1496" w:type="dxa"/>
            <w:tcBorders>
              <w:top w:val="nil"/>
              <w:left w:val="nil"/>
              <w:bottom w:val="single" w:sz="4" w:space="0" w:color="auto"/>
              <w:right w:val="single" w:sz="4" w:space="0" w:color="auto"/>
            </w:tcBorders>
            <w:shd w:val="clear" w:color="auto" w:fill="auto"/>
            <w:vAlign w:val="center"/>
          </w:tcPr>
          <w:p w14:paraId="7A3ED849" w14:textId="77777777" w:rsidR="001245B8" w:rsidRPr="001245B8" w:rsidRDefault="001245B8" w:rsidP="008B383E">
            <w:pPr>
              <w:jc w:val="center"/>
              <w:rPr>
                <w:rFonts w:cs="Arial"/>
                <w:sz w:val="20"/>
                <w:szCs w:val="20"/>
              </w:rPr>
            </w:pPr>
            <w:r w:rsidRPr="001245B8">
              <w:rPr>
                <w:rFonts w:cs="Arial"/>
                <w:sz w:val="20"/>
                <w:szCs w:val="20"/>
              </w:rPr>
              <w:t>n/a</w:t>
            </w:r>
          </w:p>
        </w:tc>
        <w:tc>
          <w:tcPr>
            <w:tcW w:w="1450" w:type="dxa"/>
            <w:tcBorders>
              <w:top w:val="nil"/>
              <w:left w:val="nil"/>
              <w:bottom w:val="single" w:sz="4" w:space="0" w:color="auto"/>
              <w:right w:val="single" w:sz="4" w:space="0" w:color="auto"/>
            </w:tcBorders>
            <w:shd w:val="clear" w:color="auto" w:fill="auto"/>
            <w:noWrap/>
            <w:vAlign w:val="center"/>
          </w:tcPr>
          <w:p w14:paraId="57FC6054" w14:textId="77777777" w:rsidR="001245B8" w:rsidRPr="001245B8" w:rsidRDefault="001245B8" w:rsidP="008B383E">
            <w:pPr>
              <w:jc w:val="center"/>
              <w:rPr>
                <w:rFonts w:cs="Arial"/>
                <w:sz w:val="20"/>
                <w:szCs w:val="20"/>
              </w:rPr>
            </w:pPr>
            <w:r w:rsidRPr="001245B8">
              <w:rPr>
                <w:rFonts w:cs="Arial"/>
                <w:sz w:val="20"/>
                <w:szCs w:val="20"/>
              </w:rPr>
              <w:t>n/a</w:t>
            </w:r>
          </w:p>
        </w:tc>
      </w:tr>
      <w:tr w:rsidR="001245B8" w:rsidRPr="001245B8" w14:paraId="2F925620" w14:textId="77777777" w:rsidTr="008B383E">
        <w:trPr>
          <w:trHeight w:val="512"/>
          <w:jc w:val="center"/>
        </w:trPr>
        <w:tc>
          <w:tcPr>
            <w:tcW w:w="34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8EE73F" w14:textId="77777777" w:rsidR="001245B8" w:rsidRPr="001245B8" w:rsidRDefault="001245B8" w:rsidP="008B383E">
            <w:pPr>
              <w:jc w:val="center"/>
              <w:rPr>
                <w:rFonts w:cs="Arial"/>
                <w:sz w:val="20"/>
                <w:szCs w:val="20"/>
              </w:rPr>
            </w:pPr>
            <w:r w:rsidRPr="001245B8">
              <w:rPr>
                <w:rFonts w:cs="Arial"/>
                <w:sz w:val="20"/>
                <w:szCs w:val="20"/>
              </w:rPr>
              <w:t>Total Market Potential:</w:t>
            </w:r>
          </w:p>
        </w:tc>
        <w:tc>
          <w:tcPr>
            <w:tcW w:w="1496" w:type="dxa"/>
            <w:tcBorders>
              <w:top w:val="single" w:sz="4" w:space="0" w:color="auto"/>
              <w:left w:val="single" w:sz="4" w:space="0" w:color="auto"/>
              <w:bottom w:val="single" w:sz="4" w:space="0" w:color="auto"/>
              <w:right w:val="single" w:sz="4" w:space="0" w:color="auto"/>
            </w:tcBorders>
            <w:shd w:val="clear" w:color="auto" w:fill="FFFFFF"/>
            <w:vAlign w:val="center"/>
          </w:tcPr>
          <w:p w14:paraId="394A2265" w14:textId="77777777" w:rsidR="001245B8" w:rsidRPr="001245B8" w:rsidRDefault="001245B8" w:rsidP="008B383E">
            <w:pPr>
              <w:jc w:val="center"/>
              <w:rPr>
                <w:rFonts w:cs="Arial"/>
                <w:sz w:val="20"/>
                <w:szCs w:val="20"/>
              </w:rPr>
            </w:pPr>
            <w:r w:rsidRPr="001245B8">
              <w:rPr>
                <w:rFonts w:cs="Arial"/>
                <w:sz w:val="20"/>
                <w:szCs w:val="20"/>
              </w:rPr>
              <w:t>1,325,996,950</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center"/>
          </w:tcPr>
          <w:p w14:paraId="6C16539B" w14:textId="77777777" w:rsidR="001245B8" w:rsidRPr="001245B8" w:rsidRDefault="001245B8" w:rsidP="008B383E">
            <w:pPr>
              <w:jc w:val="center"/>
              <w:rPr>
                <w:rFonts w:cs="Arial"/>
                <w:sz w:val="20"/>
                <w:szCs w:val="20"/>
              </w:rPr>
            </w:pPr>
            <w:r w:rsidRPr="001245B8">
              <w:rPr>
                <w:rFonts w:cs="Arial"/>
                <w:sz w:val="20"/>
                <w:szCs w:val="20"/>
              </w:rPr>
              <w:t>18,677,970</w:t>
            </w:r>
          </w:p>
        </w:tc>
      </w:tr>
    </w:tbl>
    <w:p w14:paraId="1BFEC3FF" w14:textId="77777777" w:rsidR="00197A23" w:rsidRPr="00EB2B7A" w:rsidRDefault="00197A23" w:rsidP="00EB2B7A">
      <w:pPr>
        <w:ind w:left="360"/>
        <w:rPr>
          <w:rFonts w:asciiTheme="minorHAnsi" w:eastAsiaTheme="minorHAnsi" w:hAnsiTheme="minorHAnsi" w:cstheme="minorBidi"/>
          <w:b/>
          <w:color w:val="FF0000"/>
          <w:sz w:val="20"/>
          <w:szCs w:val="22"/>
        </w:rPr>
      </w:pPr>
    </w:p>
    <w:p w14:paraId="17B1D439" w14:textId="77777777" w:rsidR="00521920" w:rsidRPr="00806070" w:rsidRDefault="00806070" w:rsidP="004B3924">
      <w:pPr>
        <w:pStyle w:val="Heading2"/>
      </w:pPr>
      <w:bookmarkStart w:id="43" w:name="_Toc491175828"/>
      <w:r>
        <w:t xml:space="preserve">1.2 Product </w:t>
      </w:r>
      <w:r w:rsidR="00521920" w:rsidRPr="00806070">
        <w:t>Technical Description</w:t>
      </w:r>
      <w:bookmarkEnd w:id="43"/>
    </w:p>
    <w:p w14:paraId="1C27463B" w14:textId="77777777" w:rsidR="00EB2B7A" w:rsidRDefault="00EB2B7A" w:rsidP="00EB2B7A">
      <w:pPr>
        <w:rPr>
          <w:sz w:val="20"/>
          <w:szCs w:val="20"/>
        </w:rPr>
      </w:pPr>
      <w:bookmarkStart w:id="44" w:name="_Toc304800203"/>
      <w:bookmarkStart w:id="45" w:name="_Toc324318339"/>
      <w:bookmarkStart w:id="46" w:name="_Toc324340483"/>
      <w:r w:rsidRPr="00EB2B7A">
        <w:rPr>
          <w:sz w:val="20"/>
          <w:szCs w:val="20"/>
        </w:rPr>
        <w:t>This work paper provides an estimate of energy savings associated with retrofitting a conventional commercial laundry system with an ozone generator. Ozone</w:t>
      </w:r>
      <w:r>
        <w:rPr>
          <w:sz w:val="20"/>
          <w:szCs w:val="20"/>
        </w:rPr>
        <w:t xml:space="preserve"> </w:t>
      </w:r>
      <w:r w:rsidRPr="00EB2B7A">
        <w:rPr>
          <w:sz w:val="20"/>
          <w:szCs w:val="20"/>
        </w:rPr>
        <w:t xml:space="preserve">is a powerful oxidant and disinfectant which can reduce odors and remove organic contaminants. </w:t>
      </w:r>
      <w:r w:rsidR="00EB1220">
        <w:rPr>
          <w:sz w:val="20"/>
          <w:szCs w:val="20"/>
        </w:rPr>
        <w:t xml:space="preserve">Ozone cleans fabrics by chemically reacting with soils. Ozone removes electrons from the soils, causing the soils to break down into smaller molecules that become water soluble and are released from the linen by ordinary agitation. </w:t>
      </w:r>
      <w:r w:rsidRPr="00EB2B7A">
        <w:rPr>
          <w:sz w:val="20"/>
          <w:szCs w:val="20"/>
        </w:rPr>
        <w:t>Because of its properties, it is a good alternative to conventional detergents and bleach. The use of ozone allows laundry machines to operate effectively in cold water. Natural gas energy savings will be achieved at the hot water heater/boiler as they will be required to produce less hot water to wash each load of laundry. The decrease in hot water usage will increase cold water usage, but overall water usage at the facility will decrease.</w:t>
      </w:r>
    </w:p>
    <w:p w14:paraId="29BE0FC4" w14:textId="77777777" w:rsidR="00FA743B" w:rsidRDefault="00FA743B" w:rsidP="00EB2B7A">
      <w:pPr>
        <w:rPr>
          <w:sz w:val="20"/>
          <w:szCs w:val="20"/>
        </w:rPr>
      </w:pPr>
    </w:p>
    <w:p w14:paraId="7B6F8CDE" w14:textId="77777777" w:rsidR="00EB1220" w:rsidRDefault="00A137D1" w:rsidP="00EB2B7A">
      <w:pPr>
        <w:rPr>
          <w:sz w:val="20"/>
          <w:szCs w:val="20"/>
        </w:rPr>
      </w:pPr>
      <w:r>
        <w:rPr>
          <w:sz w:val="20"/>
          <w:szCs w:val="20"/>
        </w:rPr>
        <w:t>The most common method of producing ozone for laundry applications is via corona discharge. Simply put, dry air is passed through an electrical field. The electric field causes some of the oxygen molecules to split into separate oxygen atoms. Individual oxygen atoms are unstable and attach to other oxygen molecules, forming ozone molecules. Ozone is rarely generated and then stored, but instead is generated and/or while the washer-extractor is in operation. Different manufacturers of ozone equipment for laundry operations use a variety of techniques to apply or introduce the ozone gas into the washer-extractor. The four most common met</w:t>
      </w:r>
      <w:r w:rsidR="00CD0D19">
        <w:rPr>
          <w:sz w:val="20"/>
          <w:szCs w:val="20"/>
        </w:rPr>
        <w:t>hods are:</w:t>
      </w:r>
    </w:p>
    <w:p w14:paraId="017C2979" w14:textId="77777777" w:rsidR="00CD0D19" w:rsidRDefault="00CD0D19" w:rsidP="00EB2B7A">
      <w:pPr>
        <w:rPr>
          <w:sz w:val="20"/>
          <w:szCs w:val="20"/>
        </w:rPr>
      </w:pPr>
    </w:p>
    <w:p w14:paraId="134FAE26" w14:textId="77777777" w:rsidR="00CD0D19" w:rsidRDefault="00CD0D19" w:rsidP="00CD0D19">
      <w:pPr>
        <w:pStyle w:val="ListParagraph"/>
        <w:numPr>
          <w:ilvl w:val="0"/>
          <w:numId w:val="25"/>
        </w:numPr>
        <w:rPr>
          <w:sz w:val="20"/>
          <w:szCs w:val="20"/>
        </w:rPr>
      </w:pPr>
      <w:r>
        <w:rPr>
          <w:sz w:val="20"/>
          <w:szCs w:val="20"/>
        </w:rPr>
        <w:t>Recirculation injection – Wash water is continuously circulated between the washer and ozone system. As a result, the wash water is continuously re-oxidized and ozone-enriched.</w:t>
      </w:r>
    </w:p>
    <w:p w14:paraId="72D89B34" w14:textId="77777777" w:rsidR="00CD0D19" w:rsidRDefault="00CD0D19" w:rsidP="00CD0D19">
      <w:pPr>
        <w:pStyle w:val="ListParagraph"/>
        <w:numPr>
          <w:ilvl w:val="0"/>
          <w:numId w:val="25"/>
        </w:numPr>
        <w:rPr>
          <w:sz w:val="20"/>
          <w:szCs w:val="20"/>
        </w:rPr>
      </w:pPr>
      <w:r>
        <w:rPr>
          <w:sz w:val="20"/>
          <w:szCs w:val="20"/>
        </w:rPr>
        <w:t>Diffusion – Ozone is continuously injected directly into the sump of the washer throughout each step of the wash cycle.</w:t>
      </w:r>
    </w:p>
    <w:p w14:paraId="7AC71675" w14:textId="77777777" w:rsidR="00CD0D19" w:rsidRDefault="00CD0D19" w:rsidP="00CD0D19">
      <w:pPr>
        <w:pStyle w:val="ListParagraph"/>
        <w:numPr>
          <w:ilvl w:val="0"/>
          <w:numId w:val="25"/>
        </w:numPr>
        <w:rPr>
          <w:sz w:val="20"/>
          <w:szCs w:val="20"/>
        </w:rPr>
      </w:pPr>
      <w:r>
        <w:rPr>
          <w:sz w:val="20"/>
          <w:szCs w:val="20"/>
        </w:rPr>
        <w:t xml:space="preserve">Direct water injection – A </w:t>
      </w:r>
      <w:proofErr w:type="spellStart"/>
      <w:r>
        <w:rPr>
          <w:sz w:val="20"/>
          <w:szCs w:val="20"/>
        </w:rPr>
        <w:t>venturi</w:t>
      </w:r>
      <w:proofErr w:type="spellEnd"/>
      <w:r>
        <w:rPr>
          <w:sz w:val="20"/>
          <w:szCs w:val="20"/>
        </w:rPr>
        <w:t xml:space="preserve"> injects ozone into the cold-water supply line leading to the washer.</w:t>
      </w:r>
    </w:p>
    <w:p w14:paraId="42B572C7" w14:textId="77777777" w:rsidR="00CD0D19" w:rsidRPr="00CD0D19" w:rsidRDefault="00CD0D19" w:rsidP="00CD0D19">
      <w:pPr>
        <w:pStyle w:val="ListParagraph"/>
        <w:numPr>
          <w:ilvl w:val="0"/>
          <w:numId w:val="25"/>
        </w:numPr>
        <w:rPr>
          <w:sz w:val="20"/>
          <w:szCs w:val="20"/>
        </w:rPr>
      </w:pPr>
      <w:r>
        <w:rPr>
          <w:sz w:val="20"/>
          <w:szCs w:val="20"/>
        </w:rPr>
        <w:t xml:space="preserve">Charge system </w:t>
      </w:r>
      <w:r w:rsidR="00011DBB">
        <w:rPr>
          <w:sz w:val="20"/>
          <w:szCs w:val="20"/>
        </w:rPr>
        <w:t>–</w:t>
      </w:r>
      <w:r>
        <w:rPr>
          <w:sz w:val="20"/>
          <w:szCs w:val="20"/>
        </w:rPr>
        <w:t xml:space="preserve"> </w:t>
      </w:r>
      <w:r w:rsidR="00011DBB">
        <w:rPr>
          <w:sz w:val="20"/>
          <w:szCs w:val="20"/>
        </w:rPr>
        <w:t xml:space="preserve">Ozone is mixed with cold water and then continually recycled between a contact vessel and the ozone system to maintain a predetermined ozone level in the water. The water containing ozone is delivered to the washer on demand </w:t>
      </w:r>
      <w:r w:rsidR="00DC3C87">
        <w:rPr>
          <w:sz w:val="20"/>
          <w:szCs w:val="20"/>
        </w:rPr>
        <w:t>and the ozone-enriched water is not recharged once it enters the washer.</w:t>
      </w:r>
    </w:p>
    <w:p w14:paraId="460101E7" w14:textId="77777777" w:rsidR="00784500" w:rsidRPr="00EB2B7A" w:rsidRDefault="009C5CA7" w:rsidP="00EB2B7A">
      <w:pPr>
        <w:pStyle w:val="Heading2"/>
        <w:keepNext w:val="0"/>
      </w:pPr>
      <w:bookmarkStart w:id="47" w:name="_Toc491175829"/>
      <w:r>
        <w:t>1.</w:t>
      </w:r>
      <w:r w:rsidR="00806070">
        <w:t>3</w:t>
      </w:r>
      <w:r>
        <w:t xml:space="preserve"> </w:t>
      </w:r>
      <w:r w:rsidR="002E6162">
        <w:t xml:space="preserve">Measure Application </w:t>
      </w:r>
      <w:bookmarkEnd w:id="44"/>
      <w:r w:rsidR="002E6162">
        <w:t>Type</w:t>
      </w:r>
      <w:bookmarkEnd w:id="45"/>
      <w:bookmarkEnd w:id="46"/>
      <w:bookmarkEnd w:id="47"/>
      <w:r w:rsidR="00FA595F">
        <w:t xml:space="preserve"> </w:t>
      </w:r>
    </w:p>
    <w:p w14:paraId="2FB2CAF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79205916" w14:textId="77777777" w:rsidR="009C5CA7" w:rsidRPr="00F65942" w:rsidRDefault="009C5CA7" w:rsidP="009C5CA7">
      <w:pPr>
        <w:rPr>
          <w:i/>
        </w:rPr>
      </w:pPr>
    </w:p>
    <w:p w14:paraId="6906A384" w14:textId="77777777" w:rsidR="00BD02D0" w:rsidRPr="003541A6" w:rsidRDefault="00BD02D0" w:rsidP="00BD02D0">
      <w:pPr>
        <w:pStyle w:val="Caption"/>
        <w:keepNext/>
        <w:rPr>
          <w:rFonts w:ascii="Calibri" w:hAnsi="Calibri" w:cs="Calibri"/>
          <w:sz w:val="26"/>
          <w:szCs w:val="26"/>
        </w:rPr>
      </w:pPr>
      <w:bookmarkStart w:id="48" w:name="_Toc491176170"/>
      <w:r w:rsidRPr="003541A6">
        <w:lastRenderedPageBreak/>
        <w:t xml:space="preserve">Table </w:t>
      </w:r>
      <w:r w:rsidR="007C4CAE">
        <w:fldChar w:fldCharType="begin"/>
      </w:r>
      <w:r w:rsidR="007C4CAE">
        <w:instrText xml:space="preserve"> SEQ Table \* ARABIC </w:instrText>
      </w:r>
      <w:r w:rsidR="007C4CAE">
        <w:fldChar w:fldCharType="separate"/>
      </w:r>
      <w:r w:rsidR="00A04EB0">
        <w:rPr>
          <w:noProof/>
        </w:rPr>
        <w:t>2</w:t>
      </w:r>
      <w:r w:rsidR="007C4CAE">
        <w:rPr>
          <w:noProof/>
        </w:rPr>
        <w:fldChar w:fldCharType="end"/>
      </w:r>
      <w:bookmarkStart w:id="49"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9"/>
      <w:r w:rsidR="00C87539">
        <w:rPr>
          <w:rStyle w:val="EndnoteReference"/>
          <w:rFonts w:cs="Arial"/>
        </w:rPr>
        <w:endnoteReference w:id="7"/>
      </w:r>
      <w:bookmarkEnd w:id="48"/>
    </w:p>
    <w:p w14:paraId="49E5997C" w14:textId="77777777"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513D81" w:rsidRPr="00BD02D0" w14:paraId="5FBB30BA" w14:textId="77777777" w:rsidTr="00EB1220">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083DFBA6"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4CEBBB5D"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0A7FB123"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Comment</w:t>
            </w:r>
          </w:p>
        </w:tc>
      </w:tr>
      <w:tr w:rsidR="00513D81" w:rsidRPr="00BD02D0" w14:paraId="35FD3E7D" w14:textId="77777777" w:rsidTr="00EB1220">
        <w:trPr>
          <w:trHeight w:val="600"/>
        </w:trPr>
        <w:tc>
          <w:tcPr>
            <w:tcW w:w="900" w:type="dxa"/>
            <w:tcBorders>
              <w:top w:val="nil"/>
              <w:left w:val="single" w:sz="4" w:space="0" w:color="auto"/>
              <w:bottom w:val="nil"/>
              <w:right w:val="nil"/>
            </w:tcBorders>
            <w:shd w:val="clear" w:color="auto" w:fill="auto"/>
            <w:noWrap/>
            <w:vAlign w:val="center"/>
            <w:hideMark/>
          </w:tcPr>
          <w:p w14:paraId="2B49456F" w14:textId="77777777" w:rsidR="00513D81" w:rsidRPr="00071448" w:rsidRDefault="00513D81" w:rsidP="00EB1220">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4F98273" w14:textId="77777777" w:rsidR="00513D81" w:rsidRPr="00071448" w:rsidRDefault="00513D81" w:rsidP="00EB1220">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630E486C" w14:textId="77777777" w:rsidR="00513D81" w:rsidRPr="00071448" w:rsidRDefault="00513D81" w:rsidP="00EB122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513D81" w:rsidRPr="00BD02D0" w14:paraId="291E9B43" w14:textId="77777777" w:rsidTr="00EB1220">
        <w:trPr>
          <w:trHeight w:val="600"/>
        </w:trPr>
        <w:tc>
          <w:tcPr>
            <w:tcW w:w="900" w:type="dxa"/>
            <w:tcBorders>
              <w:top w:val="nil"/>
              <w:left w:val="single" w:sz="4" w:space="0" w:color="auto"/>
              <w:bottom w:val="nil"/>
              <w:right w:val="nil"/>
            </w:tcBorders>
            <w:shd w:val="clear" w:color="auto" w:fill="auto"/>
            <w:noWrap/>
            <w:vAlign w:val="center"/>
            <w:hideMark/>
          </w:tcPr>
          <w:p w14:paraId="4F53006D" w14:textId="77777777" w:rsidR="00513D81" w:rsidRPr="00071448" w:rsidRDefault="00513D81" w:rsidP="00EB122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E442639" w14:textId="77777777" w:rsidR="00513D81" w:rsidRPr="00071448" w:rsidRDefault="00513D81" w:rsidP="00EB122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577B1D44" w14:textId="77777777" w:rsidR="00513D81" w:rsidRPr="00071448" w:rsidRDefault="00513D81" w:rsidP="00EB122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513D81" w:rsidRPr="00BD02D0" w14:paraId="17A38C34" w14:textId="77777777" w:rsidTr="00EB1220">
        <w:trPr>
          <w:trHeight w:val="600"/>
        </w:trPr>
        <w:tc>
          <w:tcPr>
            <w:tcW w:w="900" w:type="dxa"/>
            <w:tcBorders>
              <w:top w:val="nil"/>
              <w:left w:val="single" w:sz="4" w:space="0" w:color="auto"/>
              <w:bottom w:val="nil"/>
              <w:right w:val="nil"/>
            </w:tcBorders>
            <w:shd w:val="clear" w:color="auto" w:fill="auto"/>
            <w:noWrap/>
            <w:vAlign w:val="center"/>
          </w:tcPr>
          <w:p w14:paraId="16371FDA" w14:textId="77777777" w:rsidR="00513D81" w:rsidRPr="00071448" w:rsidRDefault="00513D81" w:rsidP="00EB1220">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5BCD9EBF" w14:textId="77777777" w:rsidR="00513D81" w:rsidRPr="00071448" w:rsidRDefault="00513D81" w:rsidP="00EB1220">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7A4FFA32" w14:textId="77777777" w:rsidR="00513D81" w:rsidRPr="00071448" w:rsidRDefault="00513D81" w:rsidP="00EB1220">
            <w:pPr>
              <w:rPr>
                <w:rFonts w:ascii="Calibri" w:hAnsi="Calibri" w:cs="Calibri"/>
                <w:i/>
                <w:iCs/>
                <w:szCs w:val="22"/>
              </w:rPr>
            </w:pPr>
          </w:p>
          <w:p w14:paraId="693E572F" w14:textId="77777777" w:rsidR="00513D81" w:rsidRPr="00071448" w:rsidRDefault="00513D81" w:rsidP="00EB1220">
            <w:pPr>
              <w:rPr>
                <w:rFonts w:ascii="Calibri" w:hAnsi="Calibri" w:cs="Calibri"/>
                <w:i/>
                <w:iCs/>
                <w:szCs w:val="22"/>
              </w:rPr>
            </w:pPr>
            <w:r w:rsidRPr="00B73E72">
              <w:rPr>
                <w:rFonts w:ascii="Calibri" w:hAnsi="Calibri" w:cs="Calibri"/>
                <w:i/>
                <w:iCs/>
                <w:szCs w:val="22"/>
              </w:rPr>
              <w:t>Single baseline (above code), incremental or full costs</w:t>
            </w:r>
          </w:p>
        </w:tc>
      </w:tr>
      <w:tr w:rsidR="00513D81" w:rsidRPr="00BD02D0" w14:paraId="5693BB1F" w14:textId="77777777" w:rsidTr="00EB1220">
        <w:trPr>
          <w:trHeight w:val="600"/>
        </w:trPr>
        <w:tc>
          <w:tcPr>
            <w:tcW w:w="900" w:type="dxa"/>
            <w:tcBorders>
              <w:top w:val="nil"/>
              <w:left w:val="single" w:sz="4" w:space="0" w:color="auto"/>
              <w:bottom w:val="single" w:sz="4" w:space="0" w:color="auto"/>
              <w:right w:val="nil"/>
            </w:tcBorders>
            <w:shd w:val="clear" w:color="auto" w:fill="auto"/>
            <w:noWrap/>
            <w:vAlign w:val="center"/>
          </w:tcPr>
          <w:p w14:paraId="78467078" w14:textId="77777777" w:rsidR="00513D81" w:rsidRPr="00071448" w:rsidRDefault="00513D81" w:rsidP="00EB1220">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415593AB" w14:textId="77777777" w:rsidR="00513D81" w:rsidRPr="00071448" w:rsidRDefault="00513D81" w:rsidP="00EB1220">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0B0EEC81" w14:textId="77777777" w:rsidR="00513D81" w:rsidRPr="00071448" w:rsidRDefault="00513D81" w:rsidP="00EB1220">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7C7E7F2E" w14:textId="77777777" w:rsidR="00D73550" w:rsidRDefault="00D73550" w:rsidP="002E0043"/>
    <w:p w14:paraId="1BE20FA2" w14:textId="77777777" w:rsidR="00EB2B7A" w:rsidRDefault="00EB2B7A" w:rsidP="002E0043">
      <w:pPr>
        <w:rPr>
          <w:rFonts w:cs="Arial"/>
          <w:sz w:val="20"/>
          <w:szCs w:val="20"/>
        </w:rPr>
      </w:pPr>
      <w:r>
        <w:rPr>
          <w:rFonts w:cs="Arial"/>
          <w:sz w:val="20"/>
          <w:szCs w:val="20"/>
        </w:rPr>
        <w:t>T</w:t>
      </w:r>
      <w:r w:rsidR="00D44A60">
        <w:rPr>
          <w:rFonts w:cs="Arial"/>
          <w:sz w:val="20"/>
          <w:szCs w:val="20"/>
        </w:rPr>
        <w:t xml:space="preserve">his measure is identified as </w:t>
      </w:r>
      <w:r w:rsidR="009D339D">
        <w:rPr>
          <w:rFonts w:cs="Arial"/>
          <w:sz w:val="20"/>
          <w:szCs w:val="20"/>
        </w:rPr>
        <w:t>R</w:t>
      </w:r>
      <w:r w:rsidR="00AC0094">
        <w:rPr>
          <w:rFonts w:cs="Arial"/>
          <w:sz w:val="20"/>
          <w:szCs w:val="20"/>
        </w:rPr>
        <w:t>etrofit add-on (REA)</w:t>
      </w:r>
      <w:r w:rsidR="009D339D">
        <w:rPr>
          <w:rFonts w:cs="Arial"/>
          <w:sz w:val="20"/>
          <w:szCs w:val="20"/>
        </w:rPr>
        <w:t>.</w:t>
      </w:r>
    </w:p>
    <w:p w14:paraId="4A7E8082" w14:textId="77777777" w:rsidR="00FA743B" w:rsidRPr="00EB2B7A" w:rsidRDefault="00FA743B" w:rsidP="002E0043">
      <w:pPr>
        <w:rPr>
          <w:rFonts w:cs="Arial"/>
          <w:sz w:val="20"/>
          <w:szCs w:val="20"/>
        </w:rPr>
      </w:pPr>
    </w:p>
    <w:p w14:paraId="7214E014" w14:textId="77777777" w:rsidR="00806070" w:rsidRDefault="00806070" w:rsidP="001248A3">
      <w:pPr>
        <w:pStyle w:val="Heading2"/>
      </w:pPr>
      <w:bookmarkStart w:id="50" w:name="_Toc304800204"/>
      <w:bookmarkStart w:id="51" w:name="_Toc324318340"/>
      <w:bookmarkStart w:id="52" w:name="_Toc324340484"/>
      <w:bookmarkStart w:id="53" w:name="_Toc491175830"/>
      <w:r>
        <w:t>1.4 Product Base Case and Measure Case Data</w:t>
      </w:r>
      <w:bookmarkEnd w:id="50"/>
      <w:bookmarkEnd w:id="51"/>
      <w:bookmarkEnd w:id="52"/>
      <w:bookmarkEnd w:id="53"/>
    </w:p>
    <w:p w14:paraId="25E54BD7" w14:textId="77777777" w:rsidR="00E71EF1" w:rsidRDefault="001248A3" w:rsidP="001248A3">
      <w:pPr>
        <w:pStyle w:val="Heading2"/>
      </w:pPr>
      <w:bookmarkStart w:id="54" w:name="_Toc304800205"/>
      <w:bookmarkStart w:id="55" w:name="_Toc324318341"/>
      <w:bookmarkStart w:id="56" w:name="_Toc324340485"/>
      <w:bookmarkStart w:id="57" w:name="_Toc491175831"/>
      <w:r>
        <w:t>1.</w:t>
      </w:r>
      <w:r w:rsidR="00806070">
        <w:t>4.1</w:t>
      </w:r>
      <w:r w:rsidR="00FA595F">
        <w:t xml:space="preserve"> </w:t>
      </w:r>
      <w:r w:rsidR="00C069A2" w:rsidRPr="001248A3">
        <w:t xml:space="preserve">DEER </w:t>
      </w:r>
      <w:r w:rsidR="008C6AD1">
        <w:t>Base Case and Measure Case Information</w:t>
      </w:r>
      <w:bookmarkEnd w:id="54"/>
      <w:bookmarkEnd w:id="55"/>
      <w:bookmarkEnd w:id="56"/>
      <w:bookmarkEnd w:id="57"/>
      <w:r w:rsidR="008C6AD1">
        <w:t xml:space="preserve"> </w:t>
      </w:r>
    </w:p>
    <w:p w14:paraId="689B3239" w14:textId="77777777" w:rsidR="00EB2B7A" w:rsidRPr="00DC0373" w:rsidRDefault="00EB2B7A" w:rsidP="00DC0373">
      <w:pPr>
        <w:rPr>
          <w:sz w:val="20"/>
          <w:szCs w:val="20"/>
        </w:rPr>
      </w:pPr>
      <w:bookmarkStart w:id="58" w:name="_Toc304800206"/>
      <w:bookmarkStart w:id="59" w:name="_Toc324318342"/>
      <w:bookmarkStart w:id="60" w:name="_Toc324340486"/>
      <w:r w:rsidRPr="00DC0373">
        <w:rPr>
          <w:sz w:val="20"/>
          <w:szCs w:val="20"/>
        </w:rPr>
        <w:t>This measure is not included in the Database for Energy Efficient Resources (DEER).</w:t>
      </w:r>
    </w:p>
    <w:p w14:paraId="24E29A9D" w14:textId="77777777" w:rsidR="00A57AE0" w:rsidRDefault="00A57AE0" w:rsidP="00A57AE0"/>
    <w:p w14:paraId="24522DB6" w14:textId="77777777" w:rsidR="00A57AE0" w:rsidRPr="008F48E1" w:rsidRDefault="00A57AE0" w:rsidP="00A57AE0">
      <w:pPr>
        <w:rPr>
          <w:rFonts w:cs="Arial"/>
          <w:sz w:val="20"/>
          <w:szCs w:val="20"/>
        </w:rPr>
      </w:pPr>
      <w:bookmarkStart w:id="61" w:name="Net_to_Gross"/>
      <w:r w:rsidRPr="008F48E1">
        <w:rPr>
          <w:rFonts w:cs="Arial"/>
          <w:b/>
          <w:sz w:val="20"/>
          <w:szCs w:val="20"/>
        </w:rPr>
        <w:t>Net-to-Gross</w:t>
      </w:r>
      <w:bookmarkEnd w:id="61"/>
      <w:r w:rsidRPr="008F48E1">
        <w:rPr>
          <w:rFonts w:cs="Arial"/>
          <w:b/>
          <w:sz w:val="20"/>
          <w:szCs w:val="20"/>
        </w:rPr>
        <w:t xml:space="preserve"> Assumption:</w:t>
      </w:r>
      <w:r>
        <w:rPr>
          <w:rFonts w:cs="Arial"/>
          <w:sz w:val="20"/>
          <w:szCs w:val="20"/>
        </w:rPr>
        <w:t xml:space="preserve"> </w:t>
      </w:r>
    </w:p>
    <w:p w14:paraId="7FB06D30" w14:textId="77777777" w:rsidR="00A57AE0" w:rsidRPr="00FA743B" w:rsidRDefault="00A57AE0" w:rsidP="00FA743B">
      <w:pPr>
        <w:rPr>
          <w:rFonts w:cs="Arial"/>
          <w:sz w:val="20"/>
          <w:szCs w:val="20"/>
        </w:rPr>
      </w:pPr>
      <w:r w:rsidRPr="00671514">
        <w:rPr>
          <w:rFonts w:cs="Arial"/>
          <w:sz w:val="20"/>
          <w:szCs w:val="20"/>
        </w:rPr>
        <w:fldChar w:fldCharType="begin"/>
      </w:r>
      <w:r w:rsidRPr="00671514">
        <w:rPr>
          <w:rFonts w:cs="Arial"/>
          <w:sz w:val="20"/>
          <w:szCs w:val="20"/>
        </w:rPr>
        <w:instrText xml:space="preserve"> REF _Ref382553092 \h </w:instrText>
      </w:r>
      <w:r>
        <w:rPr>
          <w:rFonts w:cs="Arial"/>
          <w:sz w:val="20"/>
          <w:szCs w:val="20"/>
        </w:rPr>
        <w:instrText xml:space="preserve"> \* MERGEFORMAT </w:instrText>
      </w:r>
      <w:r w:rsidRPr="00671514">
        <w:rPr>
          <w:rFonts w:cs="Arial"/>
          <w:sz w:val="20"/>
          <w:szCs w:val="20"/>
        </w:rPr>
      </w:r>
      <w:r w:rsidRPr="00671514">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3</w:t>
      </w:r>
      <w:r w:rsidRPr="00671514">
        <w:rPr>
          <w:rFonts w:cs="Arial"/>
          <w:sz w:val="20"/>
          <w:szCs w:val="20"/>
        </w:rPr>
        <w:fldChar w:fldCharType="end"/>
      </w:r>
      <w:r>
        <w:rPr>
          <w:rFonts w:cs="Arial"/>
          <w:sz w:val="20"/>
          <w:szCs w:val="20"/>
        </w:rPr>
        <w:t xml:space="preserve"> </w:t>
      </w:r>
      <w:r w:rsidRPr="008F48E1">
        <w:rPr>
          <w:rFonts w:cs="Arial"/>
          <w:sz w:val="20"/>
          <w:szCs w:val="20"/>
        </w:rPr>
        <w:t>below summarizes all applicable DEER based Net-to-Gross ratios for programs that may be used by this measure.</w:t>
      </w:r>
    </w:p>
    <w:p w14:paraId="2E59D4FB" w14:textId="77777777" w:rsidR="00A57AE0" w:rsidRPr="008F48E1" w:rsidRDefault="00A57AE0" w:rsidP="00A57AE0">
      <w:pPr>
        <w:pStyle w:val="Caption"/>
        <w:keepNext/>
        <w:jc w:val="center"/>
        <w:rPr>
          <w:rFonts w:cs="Arial"/>
        </w:rPr>
      </w:pPr>
      <w:bookmarkStart w:id="62" w:name="_Ref382553092"/>
      <w:bookmarkStart w:id="63" w:name="_Toc491176171"/>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A04EB0">
        <w:rPr>
          <w:rFonts w:cs="Arial"/>
          <w:noProof/>
        </w:rPr>
        <w:t>3</w:t>
      </w:r>
      <w:r w:rsidRPr="008F48E1">
        <w:rPr>
          <w:rFonts w:cs="Arial"/>
        </w:rPr>
        <w:fldChar w:fldCharType="end"/>
      </w:r>
      <w:bookmarkEnd w:id="62"/>
      <w:r>
        <w:rPr>
          <w:rFonts w:cs="Arial"/>
        </w:rPr>
        <w:t xml:space="preserve"> DEER </w:t>
      </w:r>
      <w:r w:rsidRPr="008F48E1">
        <w:rPr>
          <w:rFonts w:cs="Arial"/>
        </w:rPr>
        <w:t>Net-to-Gross Ratios</w:t>
      </w:r>
      <w:bookmarkEnd w:id="63"/>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98"/>
        <w:gridCol w:w="1262"/>
        <w:gridCol w:w="2529"/>
        <w:gridCol w:w="1159"/>
      </w:tblGrid>
      <w:tr w:rsidR="00A57AE0" w:rsidRPr="00783DAC" w14:paraId="34AB23B7" w14:textId="77777777" w:rsidTr="00577237">
        <w:tc>
          <w:tcPr>
            <w:tcW w:w="2018" w:type="pct"/>
            <w:shd w:val="clear" w:color="auto" w:fill="262626"/>
            <w:vAlign w:val="bottom"/>
          </w:tcPr>
          <w:p w14:paraId="474C757A" w14:textId="77777777" w:rsidR="00A57AE0" w:rsidRPr="001E4C31" w:rsidRDefault="00A57AE0" w:rsidP="00577237">
            <w:pPr>
              <w:keepNext/>
              <w:keepLines/>
              <w:jc w:val="center"/>
              <w:rPr>
                <w:rFonts w:cs="Arial"/>
                <w:b/>
                <w:bCs/>
                <w:color w:val="F2F2F2"/>
                <w:sz w:val="20"/>
                <w:szCs w:val="20"/>
              </w:rPr>
            </w:pPr>
          </w:p>
        </w:tc>
        <w:tc>
          <w:tcPr>
            <w:tcW w:w="975" w:type="pct"/>
            <w:shd w:val="clear" w:color="auto" w:fill="262626"/>
            <w:vAlign w:val="bottom"/>
          </w:tcPr>
          <w:p w14:paraId="5B43B06C" w14:textId="77777777" w:rsidR="00A57AE0" w:rsidRPr="001E4C31" w:rsidRDefault="00A57AE0" w:rsidP="00577237">
            <w:pPr>
              <w:keepNext/>
              <w:keepLines/>
              <w:jc w:val="center"/>
              <w:rPr>
                <w:rFonts w:cs="Arial"/>
                <w:b/>
                <w:bCs/>
                <w:color w:val="F2F2F2"/>
                <w:sz w:val="20"/>
                <w:szCs w:val="20"/>
              </w:rPr>
            </w:pPr>
          </w:p>
        </w:tc>
        <w:tc>
          <w:tcPr>
            <w:tcW w:w="2007" w:type="pct"/>
            <w:gridSpan w:val="2"/>
            <w:shd w:val="clear" w:color="auto" w:fill="262626"/>
            <w:vAlign w:val="bottom"/>
          </w:tcPr>
          <w:p w14:paraId="4ED3F6AD" w14:textId="77777777" w:rsidR="00A57AE0" w:rsidRPr="001E4C31" w:rsidRDefault="00A57AE0" w:rsidP="00577237">
            <w:pPr>
              <w:keepNext/>
              <w:keepLines/>
              <w:jc w:val="center"/>
              <w:rPr>
                <w:rFonts w:cs="Arial"/>
                <w:b/>
                <w:bCs/>
                <w:color w:val="F2F2F2"/>
                <w:sz w:val="20"/>
                <w:szCs w:val="20"/>
              </w:rPr>
            </w:pPr>
            <w:r w:rsidRPr="001E4C31">
              <w:rPr>
                <w:rFonts w:cs="Arial"/>
                <w:b/>
                <w:bCs/>
                <w:color w:val="F2F2F2"/>
                <w:sz w:val="20"/>
                <w:szCs w:val="20"/>
              </w:rPr>
              <w:t>DEER Spreadsheet</w:t>
            </w:r>
          </w:p>
        </w:tc>
      </w:tr>
      <w:tr w:rsidR="00A57AE0" w:rsidRPr="00783DAC" w14:paraId="412CC629" w14:textId="77777777" w:rsidTr="00577237">
        <w:tc>
          <w:tcPr>
            <w:tcW w:w="2018" w:type="pct"/>
            <w:shd w:val="pct5" w:color="000000" w:fill="FFFFFF"/>
            <w:vAlign w:val="bottom"/>
          </w:tcPr>
          <w:p w14:paraId="2485E74B" w14:textId="77777777" w:rsidR="00A57AE0" w:rsidRPr="001E4C31" w:rsidRDefault="00A57AE0" w:rsidP="00577237">
            <w:pPr>
              <w:keepNext/>
              <w:jc w:val="center"/>
              <w:rPr>
                <w:rFonts w:cs="Arial"/>
                <w:sz w:val="20"/>
                <w:szCs w:val="20"/>
              </w:rPr>
            </w:pPr>
            <w:r w:rsidRPr="001E4C31">
              <w:rPr>
                <w:rFonts w:cs="Arial"/>
                <w:sz w:val="20"/>
                <w:szCs w:val="20"/>
              </w:rPr>
              <w:t>Program Approach</w:t>
            </w:r>
          </w:p>
        </w:tc>
        <w:tc>
          <w:tcPr>
            <w:tcW w:w="975" w:type="pct"/>
            <w:shd w:val="pct5" w:color="000000" w:fill="FFFFFF"/>
            <w:vAlign w:val="bottom"/>
          </w:tcPr>
          <w:p w14:paraId="4006EA7C" w14:textId="77777777" w:rsidR="00A57AE0" w:rsidRPr="001E4C31" w:rsidRDefault="00A57AE0" w:rsidP="00577237">
            <w:pPr>
              <w:keepNext/>
              <w:jc w:val="center"/>
              <w:rPr>
                <w:rFonts w:cs="Arial"/>
                <w:sz w:val="20"/>
                <w:szCs w:val="20"/>
              </w:rPr>
            </w:pPr>
            <w:r w:rsidRPr="001E4C31">
              <w:rPr>
                <w:rFonts w:cs="Arial"/>
                <w:sz w:val="20"/>
                <w:szCs w:val="20"/>
              </w:rPr>
              <w:t>NTG</w:t>
            </w:r>
          </w:p>
        </w:tc>
        <w:tc>
          <w:tcPr>
            <w:tcW w:w="1098" w:type="pct"/>
            <w:shd w:val="pct5" w:color="000000" w:fill="FFFFFF"/>
            <w:vAlign w:val="bottom"/>
          </w:tcPr>
          <w:p w14:paraId="645E6066" w14:textId="77777777" w:rsidR="00A57AE0" w:rsidRPr="001E4C31" w:rsidRDefault="00A57AE0" w:rsidP="00577237">
            <w:pPr>
              <w:keepNext/>
              <w:jc w:val="center"/>
              <w:rPr>
                <w:rFonts w:cs="Arial"/>
                <w:sz w:val="20"/>
                <w:szCs w:val="20"/>
              </w:rPr>
            </w:pPr>
            <w:r w:rsidRPr="001E4C31">
              <w:rPr>
                <w:rFonts w:cs="Arial"/>
                <w:sz w:val="20"/>
                <w:szCs w:val="20"/>
              </w:rPr>
              <w:t>File name</w:t>
            </w:r>
          </w:p>
        </w:tc>
        <w:tc>
          <w:tcPr>
            <w:tcW w:w="909" w:type="pct"/>
            <w:shd w:val="pct5" w:color="000000" w:fill="FFFFFF"/>
            <w:vAlign w:val="bottom"/>
          </w:tcPr>
          <w:p w14:paraId="13A52297" w14:textId="77777777" w:rsidR="00A57AE0" w:rsidRPr="001E4C31" w:rsidRDefault="00A57AE0" w:rsidP="00577237">
            <w:pPr>
              <w:keepNext/>
              <w:jc w:val="center"/>
              <w:rPr>
                <w:rFonts w:cs="Arial"/>
                <w:sz w:val="20"/>
                <w:szCs w:val="20"/>
              </w:rPr>
            </w:pPr>
            <w:r w:rsidRPr="001E4C31">
              <w:rPr>
                <w:rFonts w:cs="Arial"/>
                <w:sz w:val="20"/>
                <w:szCs w:val="20"/>
              </w:rPr>
              <w:t>Cell Number</w:t>
            </w:r>
          </w:p>
        </w:tc>
      </w:tr>
      <w:tr w:rsidR="00A57AE0" w:rsidRPr="00783DAC" w14:paraId="0C111FF2" w14:textId="77777777" w:rsidTr="00577237">
        <w:tc>
          <w:tcPr>
            <w:tcW w:w="2018" w:type="pct"/>
            <w:shd w:val="pct20" w:color="000000" w:fill="FFFFFF"/>
            <w:vAlign w:val="bottom"/>
          </w:tcPr>
          <w:p w14:paraId="6DBADB6C" w14:textId="77777777" w:rsidR="00A57AE0" w:rsidRPr="00671514" w:rsidRDefault="00A57AE0" w:rsidP="00577237">
            <w:pPr>
              <w:jc w:val="center"/>
              <w:rPr>
                <w:rFonts w:cs="Arial"/>
                <w:color w:val="000000"/>
                <w:sz w:val="20"/>
                <w:szCs w:val="20"/>
              </w:rPr>
            </w:pPr>
            <w:r w:rsidRPr="00671514">
              <w:rPr>
                <w:rFonts w:cs="Arial"/>
                <w:color w:val="000000"/>
                <w:sz w:val="20"/>
                <w:szCs w:val="20"/>
              </w:rPr>
              <w:t>Com-Default&gt;2yrs</w:t>
            </w:r>
            <w:r>
              <w:rPr>
                <w:rFonts w:cs="Arial"/>
                <w:color w:val="000000"/>
                <w:sz w:val="20"/>
                <w:szCs w:val="20"/>
              </w:rPr>
              <w:t xml:space="preserve">: </w:t>
            </w:r>
          </w:p>
          <w:p w14:paraId="3480B7D8" w14:textId="77777777" w:rsidR="00A57AE0" w:rsidRPr="00671514" w:rsidRDefault="00A57AE0" w:rsidP="00577237">
            <w:pPr>
              <w:jc w:val="center"/>
              <w:rPr>
                <w:rFonts w:cs="Arial"/>
                <w:color w:val="000000"/>
                <w:szCs w:val="22"/>
              </w:rPr>
            </w:pPr>
            <w:r w:rsidRPr="00671514">
              <w:rPr>
                <w:rFonts w:cs="Arial"/>
                <w:color w:val="000000"/>
                <w:sz w:val="20"/>
                <w:szCs w:val="22"/>
              </w:rPr>
              <w:t>All other EEMs with no evaluated NTGR; existing EEM in programs with same delivery mechanism for more than 2 years</w:t>
            </w:r>
          </w:p>
        </w:tc>
        <w:tc>
          <w:tcPr>
            <w:tcW w:w="975" w:type="pct"/>
            <w:shd w:val="pct20" w:color="000000" w:fill="FFFFFF"/>
            <w:vAlign w:val="bottom"/>
          </w:tcPr>
          <w:p w14:paraId="4919ABD1" w14:textId="77777777" w:rsidR="00A57AE0" w:rsidRPr="001E4C31" w:rsidRDefault="00A57AE0" w:rsidP="00577237">
            <w:pPr>
              <w:jc w:val="center"/>
              <w:rPr>
                <w:rFonts w:cs="Arial"/>
                <w:sz w:val="20"/>
                <w:szCs w:val="20"/>
              </w:rPr>
            </w:pPr>
            <w:r>
              <w:rPr>
                <w:rFonts w:cs="Arial"/>
                <w:sz w:val="20"/>
                <w:szCs w:val="20"/>
              </w:rPr>
              <w:t>0.6</w:t>
            </w:r>
          </w:p>
        </w:tc>
        <w:tc>
          <w:tcPr>
            <w:tcW w:w="1098" w:type="pct"/>
            <w:shd w:val="pct20" w:color="000000" w:fill="FFFFFF"/>
            <w:vAlign w:val="bottom"/>
          </w:tcPr>
          <w:p w14:paraId="78E13C4D" w14:textId="77777777" w:rsidR="00A57AE0" w:rsidRPr="001E4C31" w:rsidRDefault="00A57AE0" w:rsidP="00A57AE0">
            <w:pPr>
              <w:jc w:val="center"/>
              <w:rPr>
                <w:rFonts w:cs="Arial"/>
                <w:sz w:val="20"/>
                <w:szCs w:val="20"/>
              </w:rPr>
            </w:pPr>
            <w:r w:rsidRPr="007A2DC8">
              <w:rPr>
                <w:rFonts w:cs="Arial"/>
                <w:sz w:val="20"/>
                <w:szCs w:val="20"/>
              </w:rPr>
              <w:t>SupportTable_NTGR.csv</w:t>
            </w:r>
            <w:r>
              <w:rPr>
                <w:rFonts w:cs="Arial"/>
                <w:sz w:val="20"/>
                <w:szCs w:val="20"/>
              </w:rPr>
              <w:fldChar w:fldCharType="begin"/>
            </w:r>
            <w:r>
              <w:rPr>
                <w:rFonts w:cs="Arial"/>
                <w:sz w:val="20"/>
                <w:szCs w:val="20"/>
              </w:rPr>
              <w:instrText xml:space="preserve"> NOTEREF _Ref327361296 \f \h </w:instrText>
            </w:r>
            <w:r>
              <w:rPr>
                <w:rFonts w:cs="Arial"/>
                <w:sz w:val="20"/>
                <w:szCs w:val="20"/>
              </w:rPr>
            </w:r>
            <w:r>
              <w:rPr>
                <w:rFonts w:cs="Arial"/>
                <w:sz w:val="20"/>
                <w:szCs w:val="20"/>
              </w:rPr>
              <w:fldChar w:fldCharType="separate"/>
            </w:r>
            <w:r w:rsidRPr="00A57AE0">
              <w:rPr>
                <w:rStyle w:val="EndnoteReference"/>
              </w:rPr>
              <w:t>1</w:t>
            </w:r>
            <w:r>
              <w:rPr>
                <w:rFonts w:cs="Arial"/>
                <w:sz w:val="20"/>
                <w:szCs w:val="20"/>
              </w:rPr>
              <w:fldChar w:fldCharType="end"/>
            </w:r>
          </w:p>
        </w:tc>
        <w:tc>
          <w:tcPr>
            <w:tcW w:w="909" w:type="pct"/>
            <w:shd w:val="pct20" w:color="000000" w:fill="FFFFFF"/>
            <w:vAlign w:val="bottom"/>
          </w:tcPr>
          <w:p w14:paraId="73D34BD5" w14:textId="77777777" w:rsidR="00A57AE0" w:rsidRPr="001E4C31" w:rsidRDefault="00A57AE0" w:rsidP="00577237">
            <w:pPr>
              <w:jc w:val="center"/>
              <w:rPr>
                <w:rFonts w:cs="Arial"/>
                <w:sz w:val="20"/>
                <w:szCs w:val="20"/>
              </w:rPr>
            </w:pPr>
            <w:r>
              <w:rPr>
                <w:rFonts w:cs="Arial"/>
                <w:sz w:val="20"/>
                <w:szCs w:val="20"/>
              </w:rPr>
              <w:t>D52</w:t>
            </w:r>
          </w:p>
        </w:tc>
      </w:tr>
    </w:tbl>
    <w:p w14:paraId="08033A3E" w14:textId="77777777" w:rsidR="002E0043" w:rsidRPr="002E0043" w:rsidRDefault="001248A3" w:rsidP="002E0043">
      <w:pPr>
        <w:pStyle w:val="Heading2"/>
      </w:pPr>
      <w:bookmarkStart w:id="64" w:name="_Toc491175832"/>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8"/>
      <w:bookmarkEnd w:id="59"/>
      <w:bookmarkEnd w:id="60"/>
      <w:bookmarkEnd w:id="64"/>
    </w:p>
    <w:p w14:paraId="7EDE2041" w14:textId="77777777" w:rsidR="00EF7590" w:rsidRPr="00EB2B7A" w:rsidRDefault="00EE53FF" w:rsidP="002E0043">
      <w:pPr>
        <w:rPr>
          <w:rFonts w:cs="Arial"/>
          <w:b/>
          <w:i/>
          <w:color w:val="FF0000"/>
          <w:sz w:val="20"/>
          <w:szCs w:val="20"/>
        </w:rPr>
      </w:pPr>
      <w:r w:rsidRPr="00EB2B7A">
        <w:rPr>
          <w:rFonts w:cs="Arial"/>
          <w:b/>
          <w:i/>
        </w:rPr>
        <w:t>Title 20:</w:t>
      </w:r>
      <w:r w:rsidRPr="00EB2B7A">
        <w:rPr>
          <w:rFonts w:cs="Arial"/>
        </w:rPr>
        <w:t xml:space="preserve"> </w:t>
      </w:r>
      <w:r w:rsidR="00EB2B7A" w:rsidRPr="00EB2B7A">
        <w:rPr>
          <w:rFonts w:cs="Arial"/>
          <w:sz w:val="20"/>
          <w:szCs w:val="20"/>
        </w:rPr>
        <w:t xml:space="preserve">This measure does not fall under Title 20 of the California Energy Regulations. However, water heating equipment is regulated under the Title 20 Appliance Standard of the California </w:t>
      </w:r>
      <w:r w:rsidR="008B383E">
        <w:rPr>
          <w:rFonts w:cs="Arial"/>
          <w:sz w:val="20"/>
          <w:szCs w:val="20"/>
        </w:rPr>
        <w:t>Energy Regulations (October 2012</w:t>
      </w:r>
      <w:r w:rsidR="00EB2B7A" w:rsidRPr="00EB2B7A">
        <w:rPr>
          <w:rFonts w:cs="Arial"/>
          <w:sz w:val="20"/>
          <w:szCs w:val="20"/>
        </w:rPr>
        <w:t>)</w:t>
      </w:r>
      <w:r w:rsidR="004D3D03">
        <w:rPr>
          <w:rFonts w:cs="Arial"/>
          <w:sz w:val="20"/>
          <w:szCs w:val="20"/>
        </w:rPr>
        <w:t>. Section 1605.1.f.1 (Table F-3</w:t>
      </w:r>
      <w:r w:rsidR="00EB2B7A" w:rsidRPr="00EB2B7A">
        <w:rPr>
          <w:rFonts w:cs="Arial"/>
          <w:sz w:val="20"/>
          <w:szCs w:val="20"/>
        </w:rPr>
        <w:t>) requires that gas hot water supply boilers have a minimum thermal efficiency of 80%.</w:t>
      </w:r>
      <w:bookmarkStart w:id="65" w:name="_Ref240445465"/>
      <w:r w:rsidR="00EB2B7A" w:rsidRPr="00EB2B7A">
        <w:rPr>
          <w:rStyle w:val="EndnoteReference"/>
          <w:rFonts w:cs="Arial"/>
          <w:sz w:val="20"/>
          <w:szCs w:val="20"/>
        </w:rPr>
        <w:endnoteReference w:id="8"/>
      </w:r>
      <w:bookmarkEnd w:id="65"/>
      <w:r w:rsidR="00EB2B7A" w:rsidRPr="00EB2B7A">
        <w:rPr>
          <w:rFonts w:cs="Arial"/>
          <w:sz w:val="20"/>
          <w:szCs w:val="20"/>
        </w:rPr>
        <w:t xml:space="preserve">  </w:t>
      </w:r>
    </w:p>
    <w:p w14:paraId="4DAEDF39" w14:textId="77777777" w:rsidR="00640BB6" w:rsidRPr="001B4ACB" w:rsidRDefault="00640BB6" w:rsidP="002E0043">
      <w:pPr>
        <w:rPr>
          <w:rFonts w:cs="Arial"/>
          <w:i/>
          <w:sz w:val="20"/>
          <w:szCs w:val="20"/>
        </w:rPr>
      </w:pPr>
    </w:p>
    <w:p w14:paraId="48B66779" w14:textId="77777777" w:rsidR="00640BB6" w:rsidRDefault="00EE53FF" w:rsidP="00EE53FF">
      <w:pPr>
        <w:rPr>
          <w:i/>
        </w:rPr>
      </w:pPr>
      <w:r w:rsidRPr="00FD09E4">
        <w:rPr>
          <w:rFonts w:cs="Arial"/>
          <w:b/>
          <w:i/>
        </w:rPr>
        <w:t>Title 24:</w:t>
      </w:r>
      <w:r w:rsidRPr="00FD09E4">
        <w:t xml:space="preserve"> </w:t>
      </w:r>
      <w:r w:rsidRPr="00FD09E4">
        <w:rPr>
          <w:rFonts w:cs="Arial"/>
          <w:sz w:val="20"/>
          <w:szCs w:val="20"/>
        </w:rPr>
        <w:t>This</w:t>
      </w:r>
      <w:r w:rsidR="00FD09E4">
        <w:rPr>
          <w:rFonts w:cs="Arial"/>
          <w:sz w:val="20"/>
          <w:szCs w:val="20"/>
        </w:rPr>
        <w:t xml:space="preserve"> measure</w:t>
      </w:r>
      <w:r w:rsidRPr="00FD09E4">
        <w:rPr>
          <w:rFonts w:cs="Arial"/>
          <w:sz w:val="20"/>
          <w:szCs w:val="20"/>
        </w:rPr>
        <w:t xml:space="preserve"> do</w:t>
      </w:r>
      <w:r w:rsidR="00FD09E4">
        <w:rPr>
          <w:rFonts w:cs="Arial"/>
          <w:sz w:val="20"/>
          <w:szCs w:val="20"/>
        </w:rPr>
        <w:t>es not</w:t>
      </w:r>
      <w:r w:rsidRPr="00FD09E4">
        <w:rPr>
          <w:rFonts w:cs="Arial"/>
          <w:sz w:val="20"/>
          <w:szCs w:val="20"/>
        </w:rPr>
        <w:t xml:space="preserve"> fall under Title 24 of the California Energy Regulations.</w:t>
      </w:r>
      <w:r w:rsidRPr="00CB0475">
        <w:rPr>
          <w:rFonts w:cs="Arial"/>
          <w:sz w:val="20"/>
          <w:szCs w:val="20"/>
        </w:rPr>
        <w:t xml:space="preserve"> </w:t>
      </w:r>
    </w:p>
    <w:p w14:paraId="18AC57AA" w14:textId="77777777" w:rsidR="00640BB6" w:rsidRDefault="00640BB6" w:rsidP="00EE53FF">
      <w:pPr>
        <w:rPr>
          <w:i/>
        </w:rPr>
      </w:pPr>
    </w:p>
    <w:p w14:paraId="26ABCBE8" w14:textId="77777777" w:rsidR="00640BB6" w:rsidRDefault="00EE53FF" w:rsidP="00EE53FF">
      <w:pPr>
        <w:rPr>
          <w:rFonts w:cs="Arial"/>
          <w:sz w:val="20"/>
          <w:szCs w:val="20"/>
        </w:rPr>
      </w:pPr>
      <w:r w:rsidRPr="00FD09E4">
        <w:rPr>
          <w:rFonts w:cs="Arial"/>
          <w:b/>
          <w:i/>
        </w:rPr>
        <w:t>Federal Standards:</w:t>
      </w:r>
      <w:r w:rsidRPr="00FD09E4">
        <w:t xml:space="preserve"> </w:t>
      </w:r>
      <w:r w:rsidRPr="00FD09E4">
        <w:rPr>
          <w:rFonts w:cs="Arial"/>
          <w:sz w:val="20"/>
          <w:szCs w:val="20"/>
        </w:rPr>
        <w:t>This</w:t>
      </w:r>
      <w:r w:rsidR="00FD09E4">
        <w:rPr>
          <w:rFonts w:cs="Arial"/>
          <w:sz w:val="20"/>
          <w:szCs w:val="20"/>
        </w:rPr>
        <w:t xml:space="preserve"> measure </w:t>
      </w:r>
      <w:r w:rsidRPr="00FD09E4">
        <w:rPr>
          <w:rFonts w:cs="Arial"/>
          <w:sz w:val="20"/>
          <w:szCs w:val="20"/>
        </w:rPr>
        <w:t>do</w:t>
      </w:r>
      <w:r w:rsidR="00FD09E4">
        <w:rPr>
          <w:rFonts w:cs="Arial"/>
          <w:sz w:val="20"/>
          <w:szCs w:val="20"/>
        </w:rPr>
        <w:t>es not</w:t>
      </w:r>
      <w:r w:rsidRPr="00FD09E4">
        <w:rPr>
          <w:rFonts w:cs="Arial"/>
          <w:sz w:val="20"/>
          <w:szCs w:val="20"/>
        </w:rPr>
        <w:t xml:space="preserve"> fall under Federal DOE or EPA Energy Regulations.</w:t>
      </w:r>
      <w:r w:rsidR="00437BE1" w:rsidRPr="00FD09E4">
        <w:rPr>
          <w:rFonts w:cs="Arial"/>
          <w:sz w:val="20"/>
          <w:szCs w:val="20"/>
        </w:rPr>
        <w:t xml:space="preserve"> </w:t>
      </w:r>
    </w:p>
    <w:p w14:paraId="27BA5122" w14:textId="77777777" w:rsidR="00FA743B" w:rsidRDefault="00FA743B" w:rsidP="00EE53FF">
      <w:pPr>
        <w:rPr>
          <w:rFonts w:cs="Arial"/>
          <w:b/>
          <w:i/>
          <w:color w:val="FF0000"/>
          <w:sz w:val="20"/>
          <w:szCs w:val="20"/>
        </w:rPr>
      </w:pPr>
    </w:p>
    <w:p w14:paraId="31C754A0" w14:textId="77777777" w:rsidR="00FD3EE7" w:rsidRDefault="00FD3EE7">
      <w:pPr>
        <w:rPr>
          <w:rFonts w:cs="Arial"/>
          <w:b/>
          <w:bCs/>
          <w:i/>
          <w:iCs/>
          <w:sz w:val="28"/>
          <w:szCs w:val="28"/>
        </w:rPr>
      </w:pPr>
      <w:bookmarkStart w:id="66" w:name="_Toc304800207"/>
      <w:bookmarkStart w:id="67" w:name="_Toc324318343"/>
      <w:bookmarkStart w:id="68" w:name="_Toc324340487"/>
      <w:r>
        <w:br w:type="page"/>
      </w:r>
    </w:p>
    <w:p w14:paraId="47065EB5" w14:textId="77777777" w:rsidR="00FD09E4" w:rsidRPr="00FA743B" w:rsidRDefault="001248A3" w:rsidP="00FA743B">
      <w:pPr>
        <w:pStyle w:val="Heading2"/>
        <w:keepNext w:val="0"/>
        <w:rPr>
          <w:sz w:val="20"/>
          <w:szCs w:val="20"/>
        </w:rPr>
      </w:pPr>
      <w:bookmarkStart w:id="69" w:name="_Toc491175833"/>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6"/>
      <w:bookmarkEnd w:id="67"/>
      <w:bookmarkEnd w:id="68"/>
      <w:bookmarkEnd w:id="69"/>
      <w:r w:rsidR="00437BE1">
        <w:rPr>
          <w:sz w:val="20"/>
          <w:szCs w:val="20"/>
        </w:rPr>
        <w:t xml:space="preserve"> </w:t>
      </w:r>
    </w:p>
    <w:p w14:paraId="5A6C24C3" w14:textId="77777777" w:rsidR="009E2964" w:rsidRDefault="009E2964" w:rsidP="00A35CF8">
      <w:pPr>
        <w:rPr>
          <w:rFonts w:cs="Arial"/>
          <w:b/>
          <w:i/>
        </w:rPr>
      </w:pPr>
      <w:r w:rsidRPr="00C80E3F">
        <w:rPr>
          <w:rFonts w:cs="Arial"/>
          <w:b/>
          <w:i/>
        </w:rPr>
        <w:t xml:space="preserve">1.4.3.1 </w:t>
      </w:r>
      <w:r w:rsidR="003700D9">
        <w:rPr>
          <w:rFonts w:cs="Arial"/>
          <w:b/>
          <w:i/>
        </w:rPr>
        <w:t>The Benefits of Ozone in Hospitality On-Premise Laundry Operations</w:t>
      </w:r>
      <w:r w:rsidR="00C80E3F">
        <w:rPr>
          <w:rStyle w:val="EndnoteReference"/>
          <w:rFonts w:cs="Arial"/>
          <w:b/>
          <w:i/>
        </w:rPr>
        <w:endnoteReference w:id="9"/>
      </w:r>
    </w:p>
    <w:p w14:paraId="6B6F1DAC" w14:textId="77777777" w:rsidR="00432C65" w:rsidRDefault="007F5007" w:rsidP="00A35CF8">
      <w:pPr>
        <w:rPr>
          <w:sz w:val="20"/>
        </w:rPr>
      </w:pPr>
      <w:r w:rsidRPr="007F5007">
        <w:rPr>
          <w:sz w:val="20"/>
        </w:rPr>
        <w:t xml:space="preserve">PG&amp;E’s Emerging Technologies Program developed a paper highlighting the potential </w:t>
      </w:r>
      <w:proofErr w:type="spellStart"/>
      <w:r w:rsidRPr="007F5007">
        <w:rPr>
          <w:sz w:val="20"/>
        </w:rPr>
        <w:t>therm</w:t>
      </w:r>
      <w:proofErr w:type="spellEnd"/>
      <w:r w:rsidRPr="007F5007">
        <w:rPr>
          <w:sz w:val="20"/>
        </w:rPr>
        <w:t xml:space="preserve"> savings of ozone washers at a hospitality site in Emeryville, California.</w:t>
      </w:r>
      <w:r w:rsidR="009D0D55">
        <w:rPr>
          <w:sz w:val="20"/>
        </w:rPr>
        <w:t xml:space="preserve"> The value of the natural gas saved due to the replacement of hot water with cold was the leading component of total savings. The value of the electricity savings was minor, but the value of the water and sewer savings was larger than expected. Total savings resulted in a simple payback of 7.5 months. </w:t>
      </w:r>
    </w:p>
    <w:p w14:paraId="20D23790" w14:textId="77777777" w:rsidR="00BD2BF6" w:rsidRDefault="00BD2BF6" w:rsidP="00A35CF8">
      <w:pPr>
        <w:rPr>
          <w:sz w:val="20"/>
        </w:rPr>
      </w:pPr>
    </w:p>
    <w:p w14:paraId="3BAA6541" w14:textId="77777777" w:rsidR="00BD2BF6" w:rsidRPr="00BD2BF6" w:rsidRDefault="00BD2BF6" w:rsidP="00A35CF8">
      <w:pPr>
        <w:rPr>
          <w:b/>
          <w:i/>
        </w:rPr>
      </w:pPr>
      <w:r w:rsidRPr="00BD2BF6">
        <w:rPr>
          <w:b/>
          <w:i/>
        </w:rPr>
        <w:t>1.4.3.2 Santa Barbara County Jail Ozone Laundry Detergent</w:t>
      </w:r>
      <w:r>
        <w:rPr>
          <w:rStyle w:val="EndnoteReference"/>
          <w:b/>
          <w:i/>
        </w:rPr>
        <w:endnoteReference w:id="10"/>
      </w:r>
    </w:p>
    <w:p w14:paraId="4F0E652E" w14:textId="77777777" w:rsidR="00FA743B" w:rsidRPr="00722940" w:rsidRDefault="002D6158" w:rsidP="00804B2C">
      <w:pPr>
        <w:rPr>
          <w:sz w:val="20"/>
        </w:rPr>
      </w:pPr>
      <w:r w:rsidRPr="00722940">
        <w:rPr>
          <w:sz w:val="20"/>
        </w:rPr>
        <w:t>SCG’s Emerging Technologies Program conducted a study to evaluate the benefits of installing an ozone injection system at the laundry processing facility at the Santa Barbara County Jail. The objective was to determine the gas and water savings when using an ozone laundry injection system versus the convention laundry system. The facility operates 7 days a w</w:t>
      </w:r>
      <w:r w:rsidR="000B0E64" w:rsidRPr="00722940">
        <w:rPr>
          <w:sz w:val="20"/>
        </w:rPr>
        <w:t>e</w:t>
      </w:r>
      <w:r w:rsidRPr="00722940">
        <w:rPr>
          <w:sz w:val="20"/>
        </w:rPr>
        <w:t>ek from 6:30a.m. to 4:30p.m. Approximately 2,000 pounds of laundry was washed daily for 1,200 inmates from the jail, Santa Maria, and Lompoc correctional facilities. The existing equipment used hot water provided by a 500,000 Btu/</w:t>
      </w:r>
      <w:proofErr w:type="spellStart"/>
      <w:r w:rsidRPr="00722940">
        <w:rPr>
          <w:sz w:val="20"/>
        </w:rPr>
        <w:t>hr</w:t>
      </w:r>
      <w:proofErr w:type="spellEnd"/>
      <w:r w:rsidRPr="00722940">
        <w:rPr>
          <w:sz w:val="20"/>
        </w:rPr>
        <w:t xml:space="preserve"> natural gas boiler reheated by a 76,000 Btu/</w:t>
      </w:r>
      <w:proofErr w:type="spellStart"/>
      <w:r w:rsidRPr="00722940">
        <w:rPr>
          <w:sz w:val="20"/>
        </w:rPr>
        <w:t>hr</w:t>
      </w:r>
      <w:proofErr w:type="spellEnd"/>
      <w:r w:rsidRPr="00722940">
        <w:rPr>
          <w:sz w:val="20"/>
        </w:rPr>
        <w:t xml:space="preserve"> water heater. Wash equipment consists of three 90 pound Continental commercial washer-extractors and two 75 pound wash</w:t>
      </w:r>
      <w:r w:rsidR="00DC2AC1" w:rsidRPr="00722940">
        <w:rPr>
          <w:sz w:val="20"/>
        </w:rPr>
        <w:t>e</w:t>
      </w:r>
      <w:r w:rsidRPr="00722940">
        <w:rPr>
          <w:sz w:val="20"/>
        </w:rPr>
        <w:t xml:space="preserve">r-extractors. </w:t>
      </w:r>
      <w:r w:rsidR="00722940">
        <w:rPr>
          <w:sz w:val="20"/>
        </w:rPr>
        <w:t>The project resulted in an</w:t>
      </w:r>
      <w:r w:rsidR="00DC2AC1" w:rsidRPr="00722940">
        <w:rPr>
          <w:sz w:val="20"/>
        </w:rPr>
        <w:t xml:space="preserve"> 88.1% reduction in natural gas usage and 18.6% in water usage.</w:t>
      </w:r>
    </w:p>
    <w:p w14:paraId="764C76D1" w14:textId="77777777" w:rsidR="009C5CA7" w:rsidRDefault="001248A3" w:rsidP="002E0043">
      <w:pPr>
        <w:pStyle w:val="Heading2"/>
        <w:keepNext w:val="0"/>
      </w:pPr>
      <w:bookmarkStart w:id="70" w:name="_Toc304800208"/>
      <w:bookmarkStart w:id="71" w:name="_Toc324318344"/>
      <w:bookmarkStart w:id="72" w:name="_Toc324340488"/>
      <w:bookmarkStart w:id="73" w:name="_Toc491175834"/>
      <w:r>
        <w:t>1.</w:t>
      </w:r>
      <w:r w:rsidR="00264B03">
        <w:t xml:space="preserve">4.4 </w:t>
      </w:r>
      <w:r w:rsidR="009C5CA7">
        <w:t xml:space="preserve">Assumptions and </w:t>
      </w:r>
      <w:r w:rsidR="00264B03">
        <w:t>Calculations from other sources—Base and Measure Cases</w:t>
      </w:r>
      <w:bookmarkEnd w:id="70"/>
      <w:bookmarkEnd w:id="71"/>
      <w:bookmarkEnd w:id="72"/>
      <w:bookmarkEnd w:id="73"/>
    </w:p>
    <w:p w14:paraId="6E771959" w14:textId="77777777" w:rsidR="00A172E6" w:rsidRPr="00A172E6" w:rsidRDefault="00A172E6" w:rsidP="00A172E6">
      <w:pPr>
        <w:rPr>
          <w:rFonts w:cs="Arial"/>
          <w:sz w:val="20"/>
          <w:szCs w:val="20"/>
        </w:rPr>
      </w:pPr>
    </w:p>
    <w:p w14:paraId="6A145B0C" w14:textId="77777777" w:rsidR="009D0D55" w:rsidRPr="00722940" w:rsidRDefault="000701EB" w:rsidP="009D0D55">
      <w:pPr>
        <w:rPr>
          <w:sz w:val="20"/>
        </w:rPr>
      </w:pPr>
      <w:r w:rsidRPr="004162E3">
        <w:rPr>
          <w:rFonts w:cs="Arial"/>
          <w:b/>
          <w:sz w:val="20"/>
          <w:szCs w:val="20"/>
        </w:rPr>
        <w:t xml:space="preserve">Energy Savings Assumption (ΔW, </w:t>
      </w:r>
      <w:proofErr w:type="spellStart"/>
      <w:r w:rsidRPr="004162E3">
        <w:rPr>
          <w:rFonts w:cs="Arial"/>
          <w:b/>
          <w:sz w:val="20"/>
          <w:szCs w:val="20"/>
        </w:rPr>
        <w:t>ΔTherms</w:t>
      </w:r>
      <w:proofErr w:type="spellEnd"/>
      <w:r w:rsidRPr="004162E3">
        <w:rPr>
          <w:rFonts w:cs="Arial"/>
          <w:b/>
          <w:sz w:val="20"/>
          <w:szCs w:val="20"/>
        </w:rPr>
        <w:t>):</w:t>
      </w:r>
      <w:r w:rsidR="00437BE1">
        <w:rPr>
          <w:rFonts w:cs="Arial"/>
          <w:sz w:val="20"/>
          <w:szCs w:val="20"/>
        </w:rPr>
        <w:t xml:space="preserve"> </w:t>
      </w:r>
      <w:r w:rsidR="00722940" w:rsidRPr="009D0D55">
        <w:rPr>
          <w:sz w:val="20"/>
        </w:rPr>
        <w:t>A number of ozone washing machine projects have received incentives under PG&amp;E’s Non-Residential Retrofit-Demand Response (NRR-DR) incentive program. The data gathered from those incentive reviews has been utilized to calculate run-time factors, measure cost data, and base case efficiency factors.</w:t>
      </w:r>
      <w:r w:rsidR="00722940">
        <w:rPr>
          <w:sz w:val="20"/>
        </w:rPr>
        <w:t xml:space="preserve"> Ozone technology was also i</w:t>
      </w:r>
      <w:r w:rsidR="00B8365C">
        <w:rPr>
          <w:sz w:val="20"/>
        </w:rPr>
        <w:t>nstalled in hotels and nursing facilities</w:t>
      </w:r>
      <w:r w:rsidR="009D0D55" w:rsidRPr="009D0D55">
        <w:rPr>
          <w:sz w:val="20"/>
        </w:rPr>
        <w:t xml:space="preserve"> have received incentives under </w:t>
      </w:r>
      <w:r w:rsidR="00B8365C">
        <w:rPr>
          <w:sz w:val="20"/>
        </w:rPr>
        <w:t>SCG’s customized</w:t>
      </w:r>
      <w:r w:rsidR="009D1433">
        <w:rPr>
          <w:sz w:val="20"/>
        </w:rPr>
        <w:t xml:space="preserve"> retrofit</w:t>
      </w:r>
      <w:r w:rsidR="009D0D55" w:rsidRPr="009D0D55">
        <w:rPr>
          <w:sz w:val="20"/>
        </w:rPr>
        <w:t xml:space="preserve"> program</w:t>
      </w:r>
      <w:r w:rsidR="00722940">
        <w:rPr>
          <w:sz w:val="20"/>
        </w:rPr>
        <w:t xml:space="preserve"> as well</w:t>
      </w:r>
      <w:r w:rsidR="009D0D55" w:rsidRPr="009D0D55">
        <w:rPr>
          <w:sz w:val="20"/>
        </w:rPr>
        <w:t xml:space="preserve">. </w:t>
      </w:r>
      <w:r w:rsidR="00B8365C">
        <w:rPr>
          <w:sz w:val="20"/>
        </w:rPr>
        <w:t>Data from thes</w:t>
      </w:r>
      <w:r w:rsidR="00722940">
        <w:rPr>
          <w:sz w:val="20"/>
        </w:rPr>
        <w:t>e projects were used to supplement existing data and support the application to larger hotels and nursing facilities.</w:t>
      </w:r>
    </w:p>
    <w:p w14:paraId="29F5D4F8" w14:textId="77777777" w:rsidR="000701EB" w:rsidRPr="004162E3" w:rsidRDefault="000701EB" w:rsidP="009D0D55">
      <w:pPr>
        <w:rPr>
          <w:rFonts w:cs="Arial"/>
          <w:b/>
          <w:i/>
          <w:sz w:val="20"/>
          <w:szCs w:val="20"/>
        </w:rPr>
      </w:pPr>
    </w:p>
    <w:p w14:paraId="56F8005D" w14:textId="77777777" w:rsidR="009C5CA7" w:rsidRPr="004162E3" w:rsidRDefault="009E7DCD" w:rsidP="009D0D55">
      <w:pPr>
        <w:rPr>
          <w:rFonts w:cs="Arial"/>
          <w:sz w:val="20"/>
          <w:szCs w:val="20"/>
        </w:rPr>
      </w:pPr>
      <w:r>
        <w:rPr>
          <w:rFonts w:cs="Arial"/>
          <w:b/>
          <w:sz w:val="20"/>
          <w:szCs w:val="20"/>
        </w:rPr>
        <w:t>Base Case Costs and Measure Case Costs</w:t>
      </w:r>
      <w:r w:rsidR="00B42C54">
        <w:rPr>
          <w:rFonts w:cs="Arial"/>
          <w:b/>
          <w:sz w:val="20"/>
          <w:szCs w:val="20"/>
        </w:rPr>
        <w:t>:</w:t>
      </w:r>
      <w:r w:rsidR="009D0D55">
        <w:rPr>
          <w:rFonts w:cs="Arial"/>
          <w:b/>
          <w:sz w:val="20"/>
          <w:szCs w:val="20"/>
        </w:rPr>
        <w:t xml:space="preserve"> </w:t>
      </w:r>
      <w:r w:rsidR="00A57AE0">
        <w:rPr>
          <w:rFonts w:cs="Arial"/>
          <w:sz w:val="20"/>
          <w:szCs w:val="20"/>
        </w:rPr>
        <w:t>An average measure cost per unit capacity was</w:t>
      </w:r>
      <w:r w:rsidR="00170809">
        <w:rPr>
          <w:rFonts w:cs="Arial"/>
          <w:sz w:val="20"/>
          <w:szCs w:val="20"/>
        </w:rPr>
        <w:t xml:space="preserve"> generated using data collected</w:t>
      </w:r>
      <w:r w:rsidR="00A57AE0">
        <w:rPr>
          <w:rFonts w:cs="Arial"/>
          <w:sz w:val="20"/>
          <w:szCs w:val="20"/>
        </w:rPr>
        <w:t xml:space="preserve"> from ozone laundry projects that received incentives </w:t>
      </w:r>
      <w:r w:rsidR="009D1433">
        <w:rPr>
          <w:rFonts w:cs="Arial"/>
          <w:sz w:val="20"/>
          <w:szCs w:val="20"/>
        </w:rPr>
        <w:t>SCG’s customized retrofit program.</w:t>
      </w:r>
    </w:p>
    <w:p w14:paraId="0332DA90" w14:textId="77777777" w:rsidR="009C5CA7" w:rsidRPr="004162E3" w:rsidRDefault="009C5CA7" w:rsidP="009C5CA7">
      <w:pPr>
        <w:rPr>
          <w:rFonts w:cs="Arial"/>
          <w:sz w:val="20"/>
          <w:szCs w:val="20"/>
        </w:rPr>
      </w:pPr>
    </w:p>
    <w:p w14:paraId="50F77392" w14:textId="77777777" w:rsidR="00E566D8" w:rsidRPr="00A57AE0" w:rsidRDefault="009C5CA7" w:rsidP="00A57AE0">
      <w:pPr>
        <w:rPr>
          <w:rFonts w:cs="Arial"/>
          <w:sz w:val="20"/>
          <w:szCs w:val="20"/>
          <w:highlight w:val="yellow"/>
        </w:rPr>
      </w:pPr>
      <w:r w:rsidRPr="004162E3">
        <w:rPr>
          <w:rFonts w:cs="Arial"/>
          <w:b/>
          <w:sz w:val="20"/>
          <w:szCs w:val="20"/>
        </w:rPr>
        <w:t>Effective Useful Life:</w:t>
      </w:r>
      <w:r w:rsidR="00A57AE0">
        <w:rPr>
          <w:rFonts w:cs="Arial"/>
          <w:b/>
          <w:sz w:val="20"/>
          <w:szCs w:val="20"/>
        </w:rPr>
        <w:t xml:space="preserve"> </w:t>
      </w:r>
      <w:r w:rsidR="00A57AE0">
        <w:rPr>
          <w:rFonts w:cs="Arial"/>
          <w:sz w:val="20"/>
          <w:szCs w:val="20"/>
        </w:rPr>
        <w:t>The measure equipment effective useful life (EUL) is estimated at 10 years based on the typical life of the ozone generator’s corona discharge unit.</w:t>
      </w:r>
    </w:p>
    <w:p w14:paraId="401976CB" w14:textId="77777777" w:rsidR="000701EB" w:rsidRDefault="00437BE1" w:rsidP="009C5CA7">
      <w:pPr>
        <w:rPr>
          <w:rFonts w:cs="Arial"/>
          <w:i/>
          <w:sz w:val="20"/>
          <w:szCs w:val="20"/>
        </w:rPr>
      </w:pPr>
      <w:r>
        <w:rPr>
          <w:rFonts w:cs="Arial"/>
          <w:sz w:val="20"/>
          <w:szCs w:val="20"/>
        </w:rPr>
        <w:t xml:space="preserve"> </w:t>
      </w:r>
    </w:p>
    <w:p w14:paraId="2BEF108E" w14:textId="77777777"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0D5AE404" w14:textId="77777777" w:rsidR="001178BE" w:rsidRPr="00673F76" w:rsidRDefault="00FF4E87" w:rsidP="001C2942">
      <w:pPr>
        <w:pStyle w:val="Reminders"/>
        <w:rPr>
          <w:rFonts w:ascii="Arial" w:hAnsi="Arial" w:cs="Arial"/>
          <w:i w:val="0"/>
          <w:color w:val="auto"/>
          <w:sz w:val="20"/>
          <w:szCs w:val="20"/>
        </w:rPr>
      </w:pPr>
      <w:r w:rsidRPr="00673F76">
        <w:rPr>
          <w:rFonts w:ascii="Arial" w:hAnsi="Arial" w:cs="Arial"/>
          <w:i w:val="0"/>
          <w:color w:val="auto"/>
          <w:sz w:val="20"/>
          <w:szCs w:val="20"/>
        </w:rPr>
        <w:t xml:space="preserve">We are required </w:t>
      </w:r>
      <w:r w:rsidR="001C2942" w:rsidRPr="00673F76">
        <w:rPr>
          <w:rFonts w:ascii="Arial" w:hAnsi="Arial" w:cs="Arial"/>
          <w:i w:val="0"/>
          <w:color w:val="auto"/>
          <w:sz w:val="20"/>
          <w:szCs w:val="20"/>
        </w:rPr>
        <w:t>by CPUC decision 06-06-063 dated June 29, 2006</w:t>
      </w:r>
      <w:r w:rsidRPr="00673F76">
        <w:rPr>
          <w:rFonts w:ascii="Arial" w:hAnsi="Arial" w:cs="Arial"/>
          <w:i w:val="0"/>
          <w:color w:val="auto"/>
          <w:sz w:val="20"/>
          <w:szCs w:val="20"/>
        </w:rPr>
        <w:t xml:space="preserve"> to apply </w:t>
      </w:r>
      <w:r w:rsidR="001C2942" w:rsidRPr="00673F76">
        <w:rPr>
          <w:rFonts w:ascii="Arial" w:hAnsi="Arial" w:cs="Arial"/>
          <w:i w:val="0"/>
          <w:color w:val="auto"/>
          <w:sz w:val="20"/>
          <w:szCs w:val="20"/>
        </w:rPr>
        <w:t xml:space="preserve">time-of-use (TOU) adjustment factors </w:t>
      </w:r>
      <w:r w:rsidRPr="00673F76">
        <w:rPr>
          <w:rFonts w:ascii="Arial" w:hAnsi="Arial" w:cs="Arial"/>
          <w:i w:val="0"/>
          <w:color w:val="auto"/>
          <w:sz w:val="20"/>
          <w:szCs w:val="20"/>
        </w:rPr>
        <w:t>on</w:t>
      </w:r>
      <w:r w:rsidR="001C2942" w:rsidRPr="00673F76">
        <w:rPr>
          <w:rFonts w:ascii="Arial" w:hAnsi="Arial" w:cs="Arial"/>
          <w:i w:val="0"/>
          <w:color w:val="auto"/>
          <w:sz w:val="20"/>
          <w:szCs w:val="20"/>
        </w:rPr>
        <w:t xml:space="preserve"> residential A/C and commercial A/C (packaged and split-system direct-expansion cooling) measures only.</w:t>
      </w:r>
      <w:r w:rsidR="00437BE1" w:rsidRPr="00673F76">
        <w:rPr>
          <w:rFonts w:ascii="Arial" w:hAnsi="Arial" w:cs="Arial"/>
          <w:i w:val="0"/>
          <w:color w:val="auto"/>
          <w:sz w:val="20"/>
          <w:szCs w:val="20"/>
        </w:rPr>
        <w:t xml:space="preserve"> </w:t>
      </w:r>
      <w:r w:rsidR="001C2942" w:rsidRPr="00673F76">
        <w:rPr>
          <w:rFonts w:ascii="Arial" w:hAnsi="Arial" w:cs="Arial"/>
          <w:i w:val="0"/>
          <w:color w:val="auto"/>
          <w:sz w:val="20"/>
          <w:szCs w:val="20"/>
        </w:rPr>
        <w:t xml:space="preserve"> Since this is not an A/C measure, the TOU adjustment factor is 0.</w:t>
      </w:r>
      <w:r w:rsidR="00437BE1" w:rsidRPr="00673F76">
        <w:rPr>
          <w:rFonts w:ascii="Arial" w:hAnsi="Arial" w:cs="Arial"/>
          <w:i w:val="0"/>
          <w:color w:val="auto"/>
          <w:sz w:val="20"/>
          <w:szCs w:val="20"/>
        </w:rPr>
        <w:t xml:space="preserve"> </w:t>
      </w:r>
    </w:p>
    <w:p w14:paraId="72EA2B6B" w14:textId="77777777" w:rsidR="001C2942" w:rsidRDefault="001C2942" w:rsidP="00A02F0A"/>
    <w:p w14:paraId="1C908A08" w14:textId="77777777" w:rsidR="00465C5F" w:rsidRPr="00A04EB0" w:rsidRDefault="00465C5F" w:rsidP="008344F8">
      <w:pPr>
        <w:pStyle w:val="Caption"/>
        <w:keepNext/>
        <w:rPr>
          <w:rFonts w:cs="Arial"/>
          <w:b w:val="0"/>
          <w:noProof/>
        </w:rPr>
      </w:pPr>
      <w:r w:rsidRPr="00465C5F">
        <w:rPr>
          <w:rFonts w:cs="Arial"/>
          <w:b w:val="0"/>
        </w:rPr>
        <w:t xml:space="preserve">The specific values and results are summarized in </w:t>
      </w:r>
      <w:r w:rsidR="008344F8" w:rsidRPr="008344F8">
        <w:rPr>
          <w:rFonts w:cs="Arial"/>
          <w:b w:val="0"/>
        </w:rPr>
        <w:fldChar w:fldCharType="begin"/>
      </w:r>
      <w:r w:rsidR="008344F8" w:rsidRPr="008344F8">
        <w:rPr>
          <w:rFonts w:cs="Arial"/>
          <w:b w:val="0"/>
        </w:rPr>
        <w:instrText xml:space="preserve"> REF _Ref386013232 \h  \* MERGEFORMAT </w:instrText>
      </w:r>
      <w:r w:rsidR="008344F8" w:rsidRPr="008344F8">
        <w:rPr>
          <w:rFonts w:cs="Arial"/>
          <w:b w:val="0"/>
        </w:rPr>
      </w:r>
      <w:r w:rsidR="008344F8" w:rsidRPr="008344F8">
        <w:rPr>
          <w:rFonts w:cs="Arial"/>
          <w:b w:val="0"/>
        </w:rPr>
        <w:fldChar w:fldCharType="separate"/>
      </w:r>
      <w:r w:rsidR="008344F8" w:rsidRPr="008344F8">
        <w:rPr>
          <w:rFonts w:cs="Arial"/>
          <w:b w:val="0"/>
        </w:rPr>
        <w:t xml:space="preserve">Table </w:t>
      </w:r>
      <w:r w:rsidR="008344F8" w:rsidRPr="008344F8">
        <w:rPr>
          <w:rFonts w:cs="Arial"/>
          <w:b w:val="0"/>
          <w:noProof/>
        </w:rPr>
        <w:t>4</w:t>
      </w:r>
      <w:r w:rsidR="008344F8" w:rsidRPr="008344F8">
        <w:rPr>
          <w:rFonts w:cs="Arial"/>
          <w:b w:val="0"/>
        </w:rPr>
        <w:fldChar w:fldCharType="end"/>
      </w:r>
    </w:p>
    <w:p w14:paraId="700C0695" w14:textId="77777777" w:rsidR="00465C5F" w:rsidRPr="00EB43BA" w:rsidRDefault="00465C5F" w:rsidP="00465C5F">
      <w:pPr>
        <w:pStyle w:val="Caption"/>
        <w:keepNext/>
        <w:jc w:val="center"/>
        <w:rPr>
          <w:rFonts w:cs="Arial"/>
        </w:rPr>
      </w:pPr>
      <w:bookmarkStart w:id="74" w:name="_Ref242757962"/>
    </w:p>
    <w:p w14:paraId="18656C61" w14:textId="77777777" w:rsidR="00465C5F" w:rsidRPr="00EB43BA" w:rsidRDefault="00465C5F" w:rsidP="00465C5F">
      <w:pPr>
        <w:pStyle w:val="Caption"/>
        <w:keepNext/>
        <w:jc w:val="center"/>
        <w:rPr>
          <w:rFonts w:cs="Arial"/>
        </w:rPr>
      </w:pPr>
      <w:bookmarkStart w:id="75" w:name="_Ref386013232"/>
      <w:bookmarkStart w:id="76" w:name="_Toc491176172"/>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A04EB0">
        <w:rPr>
          <w:rFonts w:cs="Arial"/>
          <w:noProof/>
        </w:rPr>
        <w:t>4</w:t>
      </w:r>
      <w:r w:rsidRPr="00EB43BA">
        <w:rPr>
          <w:rFonts w:cs="Arial"/>
        </w:rPr>
        <w:fldChar w:fldCharType="end"/>
      </w:r>
      <w:bookmarkEnd w:id="74"/>
      <w:bookmarkEnd w:id="75"/>
      <w:r>
        <w:rPr>
          <w:rFonts w:cs="Arial"/>
        </w:rPr>
        <w:t xml:space="preserve"> </w:t>
      </w:r>
      <w:r w:rsidRPr="00EB43BA">
        <w:rPr>
          <w:rFonts w:cs="Arial"/>
        </w:rPr>
        <w:t>TOU Adjustment Factors</w:t>
      </w:r>
      <w:bookmarkEnd w:id="76"/>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465C5F" w:rsidRPr="001E4C31" w14:paraId="5A0924D8" w14:textId="77777777" w:rsidTr="00577237">
        <w:tc>
          <w:tcPr>
            <w:tcW w:w="1578" w:type="pct"/>
            <w:shd w:val="clear" w:color="auto" w:fill="262626"/>
            <w:vAlign w:val="bottom"/>
          </w:tcPr>
          <w:p w14:paraId="05FB8E99" w14:textId="77777777" w:rsidR="00465C5F" w:rsidRPr="001E4C31" w:rsidRDefault="00465C5F" w:rsidP="00577237">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1E9A3064" w14:textId="77777777" w:rsidR="00465C5F" w:rsidRPr="001E4C31" w:rsidRDefault="00465C5F" w:rsidP="00577237">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1C3F37A2" w14:textId="77777777" w:rsidR="00465C5F" w:rsidRPr="001E4C31" w:rsidRDefault="00465C5F" w:rsidP="00577237">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40460A62" w14:textId="77777777" w:rsidR="00465C5F" w:rsidRPr="001E4C31" w:rsidRDefault="00465C5F" w:rsidP="00577237">
            <w:pPr>
              <w:keepLines/>
              <w:jc w:val="center"/>
              <w:rPr>
                <w:rFonts w:cs="Arial"/>
                <w:b/>
                <w:bCs/>
                <w:color w:val="F2F2F2"/>
                <w:sz w:val="20"/>
                <w:szCs w:val="20"/>
                <w:highlight w:val="yellow"/>
              </w:rPr>
            </w:pPr>
            <w:r w:rsidRPr="001E4C31">
              <w:rPr>
                <w:rFonts w:cs="Arial"/>
                <w:b/>
                <w:bCs/>
                <w:color w:val="F2F2F2"/>
                <w:sz w:val="20"/>
                <w:szCs w:val="20"/>
              </w:rPr>
              <w:t>%</w:t>
            </w:r>
          </w:p>
        </w:tc>
      </w:tr>
      <w:tr w:rsidR="00465C5F" w:rsidRPr="00EB43BA" w14:paraId="48673FDB" w14:textId="77777777" w:rsidTr="00577237">
        <w:tc>
          <w:tcPr>
            <w:tcW w:w="1578" w:type="pct"/>
            <w:shd w:val="pct5" w:color="000000" w:fill="FFFFFF"/>
            <w:vAlign w:val="bottom"/>
          </w:tcPr>
          <w:p w14:paraId="2BD76B1B" w14:textId="77777777" w:rsidR="00465C5F" w:rsidRPr="00465C5F" w:rsidRDefault="00465C5F" w:rsidP="00577237">
            <w:pPr>
              <w:jc w:val="center"/>
              <w:rPr>
                <w:rFonts w:cs="Arial"/>
                <w:sz w:val="20"/>
                <w:szCs w:val="20"/>
              </w:rPr>
            </w:pPr>
            <w:r>
              <w:rPr>
                <w:rFonts w:cs="Arial"/>
                <w:sz w:val="20"/>
                <w:szCs w:val="20"/>
              </w:rPr>
              <w:t>Ozone Generator</w:t>
            </w:r>
          </w:p>
        </w:tc>
        <w:tc>
          <w:tcPr>
            <w:tcW w:w="712" w:type="pct"/>
            <w:shd w:val="pct5" w:color="000000" w:fill="FFFFFF"/>
            <w:vAlign w:val="bottom"/>
          </w:tcPr>
          <w:p w14:paraId="0234AF39" w14:textId="77777777" w:rsidR="00465C5F" w:rsidRPr="00465C5F" w:rsidRDefault="00465C5F" w:rsidP="00577237">
            <w:pPr>
              <w:jc w:val="center"/>
              <w:rPr>
                <w:rFonts w:cs="Arial"/>
                <w:sz w:val="20"/>
                <w:szCs w:val="20"/>
              </w:rPr>
            </w:pPr>
            <w:r w:rsidRPr="00465C5F">
              <w:rPr>
                <w:rFonts w:cs="Arial"/>
                <w:sz w:val="20"/>
                <w:szCs w:val="20"/>
              </w:rPr>
              <w:t>0</w:t>
            </w:r>
          </w:p>
        </w:tc>
        <w:tc>
          <w:tcPr>
            <w:tcW w:w="1355" w:type="pct"/>
            <w:shd w:val="pct5" w:color="000000" w:fill="FFFFFF"/>
            <w:vAlign w:val="bottom"/>
          </w:tcPr>
          <w:p w14:paraId="3A32CAF7" w14:textId="77777777" w:rsidR="00465C5F" w:rsidRPr="00465C5F" w:rsidRDefault="00465C5F" w:rsidP="00577237">
            <w:pPr>
              <w:jc w:val="center"/>
              <w:rPr>
                <w:rFonts w:cs="Arial"/>
                <w:sz w:val="20"/>
                <w:szCs w:val="20"/>
              </w:rPr>
            </w:pPr>
            <w:r w:rsidRPr="00465C5F">
              <w:rPr>
                <w:rFonts w:cs="Arial"/>
                <w:sz w:val="20"/>
                <w:szCs w:val="20"/>
              </w:rPr>
              <w:t>0</w:t>
            </w:r>
          </w:p>
        </w:tc>
        <w:tc>
          <w:tcPr>
            <w:tcW w:w="1355" w:type="pct"/>
            <w:shd w:val="pct5" w:color="000000" w:fill="FFFFFF"/>
            <w:vAlign w:val="bottom"/>
          </w:tcPr>
          <w:p w14:paraId="49A1347B" w14:textId="77777777" w:rsidR="00465C5F" w:rsidRPr="00465C5F" w:rsidRDefault="00465C5F" w:rsidP="00577237">
            <w:pPr>
              <w:jc w:val="center"/>
              <w:rPr>
                <w:rFonts w:cs="Arial"/>
                <w:sz w:val="20"/>
                <w:szCs w:val="20"/>
              </w:rPr>
            </w:pPr>
            <w:r w:rsidRPr="00465C5F">
              <w:rPr>
                <w:rFonts w:cs="Arial"/>
                <w:sz w:val="20"/>
                <w:szCs w:val="20"/>
              </w:rPr>
              <w:t>0</w:t>
            </w:r>
          </w:p>
        </w:tc>
      </w:tr>
    </w:tbl>
    <w:p w14:paraId="3C0980FC" w14:textId="77777777" w:rsidR="00465C5F" w:rsidRDefault="00465C5F" w:rsidP="00A02F0A"/>
    <w:p w14:paraId="53A627E0" w14:textId="77777777" w:rsidR="00465C5F" w:rsidRDefault="00465C5F" w:rsidP="00A02F0A"/>
    <w:p w14:paraId="28549E88" w14:textId="77777777" w:rsidR="00C069A2" w:rsidRPr="00EA38B4" w:rsidRDefault="001248A3" w:rsidP="001178BE">
      <w:pPr>
        <w:keepNext/>
        <w:rPr>
          <w:rFonts w:cs="Arial"/>
          <w:b/>
          <w:i/>
          <w:sz w:val="28"/>
          <w:szCs w:val="28"/>
        </w:rPr>
      </w:pPr>
      <w:bookmarkStart w:id="77"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7"/>
      <w:r w:rsidR="00814500" w:rsidRPr="00EA38B4">
        <w:rPr>
          <w:rFonts w:cs="Arial"/>
          <w:b/>
          <w:i/>
          <w:sz w:val="28"/>
          <w:szCs w:val="28"/>
        </w:rPr>
        <w:t xml:space="preserve"> </w:t>
      </w:r>
    </w:p>
    <w:p w14:paraId="51529F4C"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69B602EB" w14:textId="77777777"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04D34E82" w14:textId="77777777" w:rsidTr="001E4C31">
        <w:tc>
          <w:tcPr>
            <w:tcW w:w="1772" w:type="dxa"/>
            <w:shd w:val="clear" w:color="auto" w:fill="262626"/>
            <w:vAlign w:val="bottom"/>
          </w:tcPr>
          <w:p w14:paraId="069AE92F"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7FF0748E"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46B46C8A"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12B4B4D7"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8A534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0AA8B278"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14:paraId="67AD9F81" w14:textId="77777777" w:rsidTr="001E4C31">
        <w:tc>
          <w:tcPr>
            <w:tcW w:w="1772" w:type="dxa"/>
            <w:shd w:val="pct5" w:color="000000" w:fill="FFFFFF"/>
            <w:vAlign w:val="bottom"/>
          </w:tcPr>
          <w:p w14:paraId="39778B72"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A2D736C" w14:textId="77777777" w:rsidR="00836F9B" w:rsidRPr="000F19A2" w:rsidRDefault="000F19A2" w:rsidP="001E4C31">
            <w:pPr>
              <w:keepNext/>
              <w:jc w:val="center"/>
              <w:rPr>
                <w:rFonts w:cs="Arial"/>
                <w:sz w:val="20"/>
                <w:szCs w:val="20"/>
              </w:rPr>
            </w:pPr>
            <w:r>
              <w:rPr>
                <w:rFonts w:cs="Arial"/>
                <w:sz w:val="20"/>
                <w:szCs w:val="20"/>
              </w:rPr>
              <w:t>Any</w:t>
            </w:r>
          </w:p>
        </w:tc>
        <w:tc>
          <w:tcPr>
            <w:tcW w:w="1461" w:type="dxa"/>
            <w:shd w:val="pct5" w:color="000000" w:fill="FFFFFF"/>
            <w:vAlign w:val="bottom"/>
          </w:tcPr>
          <w:p w14:paraId="7CB1DC5C"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4E5FA55D" w14:textId="77777777" w:rsidR="00836F9B" w:rsidRPr="001E4C31" w:rsidRDefault="000F19A2" w:rsidP="001E4C31">
            <w:pPr>
              <w:keepNext/>
              <w:jc w:val="center"/>
              <w:rPr>
                <w:rFonts w:cs="Arial"/>
                <w:i/>
                <w:sz w:val="20"/>
                <w:szCs w:val="20"/>
                <w:highlight w:val="yellow"/>
              </w:rPr>
            </w:pPr>
            <w:r w:rsidRPr="000F19A2">
              <w:rPr>
                <w:rFonts w:cs="Arial"/>
                <w:i/>
                <w:sz w:val="20"/>
                <w:szCs w:val="20"/>
              </w:rPr>
              <w:t>-</w:t>
            </w:r>
            <w:r>
              <w:rPr>
                <w:rFonts w:cs="Arial"/>
                <w:i/>
                <w:sz w:val="20"/>
                <w:szCs w:val="20"/>
              </w:rPr>
              <w:t>-</w:t>
            </w:r>
          </w:p>
        </w:tc>
        <w:tc>
          <w:tcPr>
            <w:tcW w:w="1473" w:type="dxa"/>
            <w:shd w:val="pct5" w:color="000000" w:fill="FFFFFF"/>
            <w:vAlign w:val="bottom"/>
          </w:tcPr>
          <w:p w14:paraId="4657C903" w14:textId="77777777" w:rsidR="00836F9B" w:rsidRPr="001E4C31" w:rsidRDefault="000F19A2" w:rsidP="001E4C31">
            <w:pPr>
              <w:keepNext/>
              <w:jc w:val="center"/>
              <w:rPr>
                <w:rFonts w:cs="Arial"/>
                <w:i/>
                <w:sz w:val="20"/>
                <w:szCs w:val="20"/>
                <w:highlight w:val="yellow"/>
              </w:rPr>
            </w:pPr>
            <w:r w:rsidRPr="000F19A2">
              <w:rPr>
                <w:rFonts w:cs="Arial"/>
                <w:i/>
                <w:sz w:val="20"/>
                <w:szCs w:val="20"/>
              </w:rPr>
              <w:t>--</w:t>
            </w:r>
          </w:p>
        </w:tc>
        <w:tc>
          <w:tcPr>
            <w:tcW w:w="1736" w:type="dxa"/>
            <w:shd w:val="pct5" w:color="000000" w:fill="FFFFFF"/>
            <w:vAlign w:val="bottom"/>
          </w:tcPr>
          <w:p w14:paraId="30C744F8" w14:textId="77777777" w:rsidR="00836F9B" w:rsidRPr="000F19A2" w:rsidRDefault="00836F9B" w:rsidP="001E4C31">
            <w:pPr>
              <w:keepNext/>
              <w:jc w:val="center"/>
              <w:rPr>
                <w:rFonts w:cs="Arial"/>
                <w:i/>
                <w:sz w:val="20"/>
                <w:szCs w:val="20"/>
              </w:rPr>
            </w:pPr>
          </w:p>
        </w:tc>
      </w:tr>
      <w:tr w:rsidR="009B1863" w:rsidRPr="00783DAC" w14:paraId="26157090" w14:textId="77777777" w:rsidTr="001E4C31">
        <w:tc>
          <w:tcPr>
            <w:tcW w:w="1772" w:type="dxa"/>
            <w:shd w:val="pct20" w:color="000000" w:fill="FFFFFF"/>
            <w:vAlign w:val="bottom"/>
          </w:tcPr>
          <w:p w14:paraId="0ACD07A9" w14:textId="77777777"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76AB922B" w14:textId="77777777" w:rsidR="00836F9B" w:rsidRPr="000F19A2" w:rsidRDefault="000F19A2" w:rsidP="001E4C31">
            <w:pPr>
              <w:keepNext/>
              <w:jc w:val="center"/>
              <w:rPr>
                <w:rFonts w:cs="Arial"/>
                <w:sz w:val="20"/>
                <w:szCs w:val="20"/>
              </w:rPr>
            </w:pPr>
            <w:r>
              <w:rPr>
                <w:rFonts w:cs="Arial"/>
                <w:sz w:val="20"/>
                <w:szCs w:val="20"/>
              </w:rPr>
              <w:t>Any</w:t>
            </w:r>
          </w:p>
        </w:tc>
        <w:tc>
          <w:tcPr>
            <w:tcW w:w="1461" w:type="dxa"/>
            <w:shd w:val="pct20" w:color="000000" w:fill="FFFFFF"/>
            <w:vAlign w:val="bottom"/>
          </w:tcPr>
          <w:p w14:paraId="2F13692B"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16B65FAE"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6D814D81" w14:textId="77777777" w:rsidR="00836F9B" w:rsidRPr="001E4C31" w:rsidRDefault="00AC56EF" w:rsidP="001E4C31">
            <w:pPr>
              <w:keepNext/>
              <w:jc w:val="center"/>
              <w:rPr>
                <w:rFonts w:cs="Arial"/>
                <w:sz w:val="20"/>
                <w:szCs w:val="20"/>
              </w:rPr>
            </w:pPr>
            <w:r>
              <w:rPr>
                <w:rFonts w:cs="Arial"/>
                <w:sz w:val="20"/>
                <w:szCs w:val="20"/>
              </w:rPr>
              <w:t>Varies</w:t>
            </w:r>
          </w:p>
        </w:tc>
        <w:tc>
          <w:tcPr>
            <w:tcW w:w="1736" w:type="dxa"/>
            <w:shd w:val="pct20" w:color="000000" w:fill="FFFFFF"/>
            <w:vAlign w:val="bottom"/>
          </w:tcPr>
          <w:p w14:paraId="14875004" w14:textId="269903D0" w:rsidR="00836F9B" w:rsidRPr="0076257E" w:rsidRDefault="0076257E" w:rsidP="001E4C31">
            <w:pPr>
              <w:keepNext/>
              <w:jc w:val="center"/>
              <w:rPr>
                <w:rFonts w:cs="Arial"/>
                <w:i/>
                <w:sz w:val="20"/>
                <w:szCs w:val="20"/>
              </w:rPr>
            </w:pPr>
            <w:r w:rsidRPr="0076257E">
              <w:rPr>
                <w:rFonts w:cs="Arial"/>
                <w:i/>
                <w:sz w:val="20"/>
                <w:szCs w:val="20"/>
              </w:rPr>
              <w:t>Section 2</w:t>
            </w:r>
          </w:p>
        </w:tc>
      </w:tr>
      <w:tr w:rsidR="009B1863" w:rsidRPr="00783DAC" w14:paraId="786938DB" w14:textId="77777777" w:rsidTr="001E4C31">
        <w:tc>
          <w:tcPr>
            <w:tcW w:w="1772" w:type="dxa"/>
            <w:shd w:val="pct5" w:color="000000" w:fill="FFFFFF"/>
            <w:vAlign w:val="bottom"/>
          </w:tcPr>
          <w:p w14:paraId="1F8C0640"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59D89918" w14:textId="77777777" w:rsidR="00836F9B" w:rsidRPr="000F19A2" w:rsidRDefault="000F19A2" w:rsidP="001E4C31">
            <w:pPr>
              <w:keepNext/>
              <w:jc w:val="center"/>
              <w:rPr>
                <w:rFonts w:cs="Arial"/>
                <w:sz w:val="20"/>
                <w:szCs w:val="20"/>
              </w:rPr>
            </w:pPr>
            <w:r>
              <w:rPr>
                <w:rFonts w:cs="Arial"/>
                <w:sz w:val="20"/>
                <w:szCs w:val="20"/>
              </w:rPr>
              <w:t>Any</w:t>
            </w:r>
          </w:p>
        </w:tc>
        <w:tc>
          <w:tcPr>
            <w:tcW w:w="1461" w:type="dxa"/>
            <w:shd w:val="pct5" w:color="000000" w:fill="FFFFFF"/>
            <w:vAlign w:val="bottom"/>
          </w:tcPr>
          <w:p w14:paraId="6576115F"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7D8559AD"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7FCE3ED3" w14:textId="77777777" w:rsidR="00836F9B" w:rsidRPr="001E4C31" w:rsidRDefault="000F19A2" w:rsidP="001E4C31">
            <w:pPr>
              <w:keepNext/>
              <w:jc w:val="center"/>
              <w:rPr>
                <w:rFonts w:cs="Arial"/>
                <w:sz w:val="20"/>
                <w:szCs w:val="20"/>
              </w:rPr>
            </w:pPr>
            <w:r>
              <w:rPr>
                <w:rFonts w:cs="Arial"/>
                <w:sz w:val="20"/>
                <w:szCs w:val="20"/>
              </w:rPr>
              <w:t>--</w:t>
            </w:r>
          </w:p>
        </w:tc>
        <w:tc>
          <w:tcPr>
            <w:tcW w:w="1736" w:type="dxa"/>
            <w:shd w:val="pct5" w:color="000000" w:fill="FFFFFF"/>
            <w:vAlign w:val="bottom"/>
          </w:tcPr>
          <w:p w14:paraId="264D23F5" w14:textId="77777777" w:rsidR="00836F9B" w:rsidRPr="0076257E" w:rsidRDefault="00836F9B" w:rsidP="001E4C31">
            <w:pPr>
              <w:keepNext/>
              <w:jc w:val="center"/>
              <w:rPr>
                <w:rFonts w:cs="Arial"/>
                <w:i/>
                <w:sz w:val="20"/>
                <w:szCs w:val="20"/>
              </w:rPr>
            </w:pPr>
          </w:p>
        </w:tc>
      </w:tr>
      <w:tr w:rsidR="009B1863" w:rsidRPr="00783DAC" w14:paraId="2EECFEB0" w14:textId="77777777" w:rsidTr="001E4C31">
        <w:tc>
          <w:tcPr>
            <w:tcW w:w="1772" w:type="dxa"/>
            <w:shd w:val="pct20" w:color="000000" w:fill="FFFFFF"/>
            <w:vAlign w:val="bottom"/>
          </w:tcPr>
          <w:p w14:paraId="77B71501" w14:textId="77777777"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45ADB37C" w14:textId="77777777" w:rsidR="00836F9B" w:rsidRPr="000F19A2" w:rsidRDefault="000D0CE1" w:rsidP="00465AFD">
            <w:pPr>
              <w:keepNext/>
              <w:jc w:val="center"/>
              <w:rPr>
                <w:rFonts w:cs="Arial"/>
                <w:sz w:val="20"/>
                <w:szCs w:val="20"/>
              </w:rPr>
            </w:pPr>
            <w:r>
              <w:rPr>
                <w:rFonts w:cs="Arial"/>
                <w:sz w:val="20"/>
                <w:szCs w:val="20"/>
              </w:rPr>
              <w:t>REA</w:t>
            </w:r>
          </w:p>
        </w:tc>
        <w:tc>
          <w:tcPr>
            <w:tcW w:w="1461" w:type="dxa"/>
            <w:shd w:val="pct20" w:color="000000" w:fill="FFFFFF"/>
            <w:vAlign w:val="bottom"/>
          </w:tcPr>
          <w:p w14:paraId="33CB7A15"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20174FE6"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3960DCFB" w14:textId="77777777" w:rsidR="00836F9B" w:rsidRPr="001E4C31" w:rsidRDefault="00BD2BF6" w:rsidP="001E4C31">
            <w:pPr>
              <w:keepNext/>
              <w:jc w:val="center"/>
              <w:rPr>
                <w:rFonts w:cs="Arial"/>
                <w:sz w:val="20"/>
                <w:szCs w:val="20"/>
              </w:rPr>
            </w:pPr>
            <w:r>
              <w:rPr>
                <w:rFonts w:cs="Arial"/>
                <w:sz w:val="20"/>
                <w:szCs w:val="20"/>
              </w:rPr>
              <w:t>$138.41</w:t>
            </w:r>
          </w:p>
        </w:tc>
        <w:tc>
          <w:tcPr>
            <w:tcW w:w="1736" w:type="dxa"/>
            <w:shd w:val="pct20" w:color="000000" w:fill="FFFFFF"/>
            <w:vAlign w:val="bottom"/>
          </w:tcPr>
          <w:p w14:paraId="540A6C63" w14:textId="77777777" w:rsidR="00836F9B" w:rsidRPr="0076257E" w:rsidRDefault="0076257E" w:rsidP="001E4C31">
            <w:pPr>
              <w:keepNext/>
              <w:jc w:val="center"/>
              <w:rPr>
                <w:rFonts w:cs="Arial"/>
                <w:i/>
                <w:sz w:val="20"/>
                <w:szCs w:val="20"/>
              </w:rPr>
            </w:pPr>
            <w:r w:rsidRPr="0076257E">
              <w:rPr>
                <w:rFonts w:cs="Arial"/>
                <w:i/>
                <w:sz w:val="20"/>
                <w:szCs w:val="20"/>
              </w:rPr>
              <w:t>Section 4.3.1</w:t>
            </w:r>
          </w:p>
        </w:tc>
      </w:tr>
      <w:tr w:rsidR="009B1863" w:rsidRPr="00783DAC" w14:paraId="18980FAC" w14:textId="77777777" w:rsidTr="001E4C31">
        <w:tc>
          <w:tcPr>
            <w:tcW w:w="1772" w:type="dxa"/>
            <w:shd w:val="pct5" w:color="000000" w:fill="FFFFFF"/>
            <w:vAlign w:val="bottom"/>
          </w:tcPr>
          <w:p w14:paraId="54F36EEB" w14:textId="77777777"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19F30411" w14:textId="77777777" w:rsidR="00836F9B" w:rsidRPr="000F19A2" w:rsidRDefault="00836F9B" w:rsidP="00465AFD">
            <w:pPr>
              <w:keepNext/>
              <w:jc w:val="center"/>
              <w:rPr>
                <w:rFonts w:cs="Arial"/>
                <w:sz w:val="20"/>
                <w:szCs w:val="20"/>
              </w:rPr>
            </w:pPr>
            <w:r w:rsidRPr="000F19A2">
              <w:rPr>
                <w:rFonts w:cs="Arial"/>
                <w:sz w:val="20"/>
                <w:szCs w:val="20"/>
              </w:rPr>
              <w:t>R</w:t>
            </w:r>
            <w:r w:rsidR="000D0CE1">
              <w:rPr>
                <w:rFonts w:cs="Arial"/>
                <w:sz w:val="20"/>
                <w:szCs w:val="20"/>
              </w:rPr>
              <w:t>EA</w:t>
            </w:r>
          </w:p>
        </w:tc>
        <w:tc>
          <w:tcPr>
            <w:tcW w:w="1461" w:type="dxa"/>
            <w:shd w:val="pct5" w:color="000000" w:fill="FFFFFF"/>
            <w:vAlign w:val="bottom"/>
          </w:tcPr>
          <w:p w14:paraId="1AEFB9B9"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79B4B4DC"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248B6724" w14:textId="77777777" w:rsidR="00836F9B" w:rsidRPr="001E4C31" w:rsidRDefault="00BD2BF6" w:rsidP="001E4C31">
            <w:pPr>
              <w:keepNext/>
              <w:jc w:val="center"/>
              <w:rPr>
                <w:rFonts w:cs="Arial"/>
                <w:sz w:val="20"/>
                <w:szCs w:val="20"/>
              </w:rPr>
            </w:pPr>
            <w:r>
              <w:rPr>
                <w:rFonts w:cs="Arial"/>
                <w:sz w:val="20"/>
                <w:szCs w:val="20"/>
              </w:rPr>
              <w:t>$138.41</w:t>
            </w:r>
          </w:p>
        </w:tc>
        <w:tc>
          <w:tcPr>
            <w:tcW w:w="1736" w:type="dxa"/>
            <w:shd w:val="pct5" w:color="000000" w:fill="FFFFFF"/>
            <w:vAlign w:val="bottom"/>
          </w:tcPr>
          <w:p w14:paraId="13009670" w14:textId="77777777" w:rsidR="00836F9B" w:rsidRPr="0076257E" w:rsidRDefault="0076257E" w:rsidP="001E4C31">
            <w:pPr>
              <w:keepNext/>
              <w:jc w:val="center"/>
              <w:rPr>
                <w:rFonts w:cs="Arial"/>
                <w:i/>
                <w:sz w:val="20"/>
                <w:szCs w:val="20"/>
              </w:rPr>
            </w:pPr>
            <w:r w:rsidRPr="0076257E">
              <w:rPr>
                <w:rFonts w:cs="Arial"/>
                <w:i/>
                <w:sz w:val="20"/>
                <w:szCs w:val="20"/>
              </w:rPr>
              <w:t>Section 4.3.2</w:t>
            </w:r>
          </w:p>
        </w:tc>
      </w:tr>
      <w:tr w:rsidR="009B1863" w:rsidRPr="00783DAC" w14:paraId="3D79D5FC" w14:textId="77777777" w:rsidTr="001E4C31">
        <w:tc>
          <w:tcPr>
            <w:tcW w:w="1772" w:type="dxa"/>
            <w:shd w:val="pct20" w:color="000000" w:fill="FFFFFF"/>
            <w:vAlign w:val="bottom"/>
          </w:tcPr>
          <w:p w14:paraId="1C9DE9D1" w14:textId="77777777"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711FB078" w14:textId="77777777" w:rsidR="00836F9B" w:rsidRPr="000F19A2" w:rsidRDefault="00836F9B" w:rsidP="00465AFD">
            <w:pPr>
              <w:keepNext/>
              <w:jc w:val="center"/>
              <w:rPr>
                <w:rFonts w:cs="Arial"/>
                <w:sz w:val="20"/>
                <w:szCs w:val="20"/>
              </w:rPr>
            </w:pPr>
            <w:r w:rsidRPr="000F19A2">
              <w:rPr>
                <w:rFonts w:cs="Arial"/>
                <w:sz w:val="20"/>
                <w:szCs w:val="20"/>
              </w:rPr>
              <w:t>R</w:t>
            </w:r>
            <w:r w:rsidR="000D0CE1">
              <w:rPr>
                <w:rFonts w:cs="Arial"/>
                <w:sz w:val="20"/>
                <w:szCs w:val="20"/>
              </w:rPr>
              <w:t>EA</w:t>
            </w:r>
          </w:p>
        </w:tc>
        <w:tc>
          <w:tcPr>
            <w:tcW w:w="1461" w:type="dxa"/>
            <w:shd w:val="pct20" w:color="000000" w:fill="FFFFFF"/>
            <w:vAlign w:val="bottom"/>
          </w:tcPr>
          <w:p w14:paraId="67C1D89D"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129FE3F7"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1AF947E9" w14:textId="77777777" w:rsidR="00836F9B" w:rsidRPr="001E4C31" w:rsidRDefault="000F19A2" w:rsidP="001E4C31">
            <w:pPr>
              <w:keepNext/>
              <w:jc w:val="center"/>
              <w:rPr>
                <w:rFonts w:cs="Arial"/>
                <w:sz w:val="20"/>
                <w:szCs w:val="20"/>
              </w:rPr>
            </w:pPr>
            <w:r>
              <w:rPr>
                <w:rFonts w:cs="Arial"/>
                <w:sz w:val="20"/>
                <w:szCs w:val="20"/>
              </w:rPr>
              <w:t>10 years</w:t>
            </w:r>
          </w:p>
        </w:tc>
        <w:tc>
          <w:tcPr>
            <w:tcW w:w="1736" w:type="dxa"/>
            <w:shd w:val="pct20" w:color="000000" w:fill="FFFFFF"/>
            <w:vAlign w:val="bottom"/>
          </w:tcPr>
          <w:p w14:paraId="68486C91" w14:textId="77777777" w:rsidR="00836F9B" w:rsidRPr="0076257E" w:rsidRDefault="0076257E" w:rsidP="001E4C31">
            <w:pPr>
              <w:keepNext/>
              <w:jc w:val="center"/>
              <w:rPr>
                <w:rFonts w:cs="Arial"/>
                <w:i/>
                <w:sz w:val="20"/>
                <w:szCs w:val="20"/>
              </w:rPr>
            </w:pPr>
            <w:r w:rsidRPr="0076257E">
              <w:rPr>
                <w:rFonts w:cs="Arial"/>
                <w:i/>
                <w:sz w:val="20"/>
                <w:szCs w:val="20"/>
              </w:rPr>
              <w:t>Section 1.4.4</w:t>
            </w:r>
          </w:p>
        </w:tc>
      </w:tr>
      <w:tr w:rsidR="009B1863" w:rsidRPr="00783DAC" w14:paraId="49BF539F" w14:textId="77777777" w:rsidTr="001E4C31">
        <w:tc>
          <w:tcPr>
            <w:tcW w:w="1772" w:type="dxa"/>
            <w:shd w:val="pct5" w:color="000000" w:fill="FFFFFF"/>
            <w:vAlign w:val="bottom"/>
          </w:tcPr>
          <w:p w14:paraId="06130030" w14:textId="77777777"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21FAEA89" w14:textId="77777777" w:rsidR="00836F9B" w:rsidRPr="000F19A2" w:rsidRDefault="00836F9B" w:rsidP="000F19A2">
            <w:pPr>
              <w:keepNext/>
              <w:jc w:val="center"/>
              <w:rPr>
                <w:rFonts w:cs="Arial"/>
                <w:sz w:val="20"/>
                <w:szCs w:val="20"/>
              </w:rPr>
            </w:pPr>
            <w:r w:rsidRPr="000F19A2">
              <w:rPr>
                <w:rFonts w:cs="Arial"/>
                <w:sz w:val="20"/>
                <w:szCs w:val="20"/>
              </w:rPr>
              <w:t>One</w:t>
            </w:r>
          </w:p>
        </w:tc>
        <w:tc>
          <w:tcPr>
            <w:tcW w:w="1461" w:type="dxa"/>
            <w:shd w:val="pct5" w:color="000000" w:fill="FFFFFF"/>
            <w:vAlign w:val="bottom"/>
          </w:tcPr>
          <w:p w14:paraId="32044CFB"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6A0A1066"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1F240361" w14:textId="77777777" w:rsidR="00836F9B" w:rsidRPr="001E4C31" w:rsidRDefault="000F19A2" w:rsidP="001E4C31">
            <w:pPr>
              <w:keepNext/>
              <w:jc w:val="center"/>
              <w:rPr>
                <w:rFonts w:cs="Arial"/>
                <w:sz w:val="20"/>
                <w:szCs w:val="20"/>
              </w:rPr>
            </w:pPr>
            <w:r>
              <w:rPr>
                <w:rFonts w:cs="Arial"/>
                <w:sz w:val="20"/>
                <w:szCs w:val="20"/>
              </w:rPr>
              <w:t>0.6</w:t>
            </w:r>
          </w:p>
        </w:tc>
        <w:tc>
          <w:tcPr>
            <w:tcW w:w="1736" w:type="dxa"/>
            <w:shd w:val="pct5" w:color="000000" w:fill="FFFFFF"/>
            <w:vAlign w:val="bottom"/>
          </w:tcPr>
          <w:p w14:paraId="43A27069" w14:textId="77777777" w:rsidR="00836F9B" w:rsidRPr="0076257E" w:rsidRDefault="0076257E" w:rsidP="001E4C31">
            <w:pPr>
              <w:keepNext/>
              <w:jc w:val="center"/>
              <w:rPr>
                <w:rFonts w:cs="Arial"/>
                <w:i/>
                <w:sz w:val="20"/>
                <w:szCs w:val="20"/>
              </w:rPr>
            </w:pPr>
            <w:r w:rsidRPr="0076257E">
              <w:rPr>
                <w:rFonts w:cs="Arial"/>
                <w:i/>
                <w:sz w:val="20"/>
                <w:szCs w:val="20"/>
              </w:rPr>
              <w:t>Section 1.4.1</w:t>
            </w:r>
          </w:p>
        </w:tc>
      </w:tr>
      <w:tr w:rsidR="009B1863" w:rsidRPr="00783DAC" w14:paraId="2AF73F7D" w14:textId="77777777" w:rsidTr="001E4C31">
        <w:tc>
          <w:tcPr>
            <w:tcW w:w="1772" w:type="dxa"/>
            <w:shd w:val="pct20" w:color="000000" w:fill="FFFFFF"/>
            <w:vAlign w:val="bottom"/>
          </w:tcPr>
          <w:p w14:paraId="4BF7CEAE" w14:textId="77777777"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7CC0D3D5" w14:textId="77777777" w:rsidR="00836F9B" w:rsidRPr="000F19A2" w:rsidRDefault="00836F9B" w:rsidP="001E4C31">
            <w:pPr>
              <w:keepNext/>
              <w:jc w:val="center"/>
              <w:rPr>
                <w:rFonts w:cs="Arial"/>
                <w:sz w:val="20"/>
                <w:szCs w:val="20"/>
              </w:rPr>
            </w:pPr>
            <w:r w:rsidRPr="000F19A2">
              <w:rPr>
                <w:rFonts w:cs="Arial"/>
                <w:sz w:val="20"/>
                <w:szCs w:val="20"/>
              </w:rPr>
              <w:t xml:space="preserve">No </w:t>
            </w:r>
          </w:p>
        </w:tc>
        <w:tc>
          <w:tcPr>
            <w:tcW w:w="1461" w:type="dxa"/>
            <w:shd w:val="pct20" w:color="000000" w:fill="FFFFFF"/>
            <w:vAlign w:val="bottom"/>
          </w:tcPr>
          <w:p w14:paraId="0C8B7E6E" w14:textId="77777777"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5E7DF2BD" w14:textId="77777777"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20D62004" w14:textId="77777777" w:rsidR="00836F9B" w:rsidRPr="001E4C31" w:rsidRDefault="000F19A2" w:rsidP="001E4C31">
            <w:pPr>
              <w:keepNext/>
              <w:jc w:val="center"/>
              <w:rPr>
                <w:rFonts w:cs="Arial"/>
                <w:sz w:val="20"/>
                <w:szCs w:val="20"/>
              </w:rPr>
            </w:pPr>
            <w:r>
              <w:rPr>
                <w:rFonts w:cs="Arial"/>
                <w:sz w:val="20"/>
                <w:szCs w:val="20"/>
              </w:rPr>
              <w:t>--</w:t>
            </w:r>
          </w:p>
        </w:tc>
        <w:tc>
          <w:tcPr>
            <w:tcW w:w="1736" w:type="dxa"/>
            <w:shd w:val="pct20" w:color="000000" w:fill="FFFFFF"/>
            <w:vAlign w:val="bottom"/>
          </w:tcPr>
          <w:p w14:paraId="51970DBF" w14:textId="77777777" w:rsidR="00836F9B" w:rsidRPr="000F19A2" w:rsidRDefault="00836F9B" w:rsidP="001E4C31">
            <w:pPr>
              <w:keepNext/>
              <w:jc w:val="center"/>
              <w:rPr>
                <w:rFonts w:cs="Arial"/>
                <w:sz w:val="20"/>
                <w:szCs w:val="20"/>
              </w:rPr>
            </w:pPr>
          </w:p>
        </w:tc>
      </w:tr>
      <w:tr w:rsidR="009B1863" w:rsidRPr="00783DAC" w14:paraId="78DA11C1" w14:textId="77777777" w:rsidTr="001E4C31">
        <w:tc>
          <w:tcPr>
            <w:tcW w:w="1772" w:type="dxa"/>
            <w:shd w:val="pct5" w:color="000000" w:fill="FFFFFF"/>
            <w:vAlign w:val="bottom"/>
          </w:tcPr>
          <w:p w14:paraId="6A4B75D9" w14:textId="77777777"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6BF5050F" w14:textId="77777777" w:rsidR="00836F9B" w:rsidRPr="000F19A2" w:rsidRDefault="00836F9B" w:rsidP="001E4C31">
            <w:pPr>
              <w:jc w:val="center"/>
              <w:rPr>
                <w:rFonts w:cs="Arial"/>
                <w:i/>
                <w:sz w:val="20"/>
                <w:szCs w:val="20"/>
              </w:rPr>
            </w:pPr>
            <w:r w:rsidRPr="000F19A2">
              <w:rPr>
                <w:rFonts w:cs="Arial"/>
                <w:i/>
                <w:sz w:val="20"/>
                <w:szCs w:val="20"/>
              </w:rPr>
              <w:t>A/C projects only</w:t>
            </w:r>
          </w:p>
        </w:tc>
        <w:tc>
          <w:tcPr>
            <w:tcW w:w="1461" w:type="dxa"/>
            <w:shd w:val="pct5" w:color="000000" w:fill="FFFFFF"/>
            <w:vAlign w:val="bottom"/>
          </w:tcPr>
          <w:p w14:paraId="31CFFAA0" w14:textId="77777777" w:rsidR="00836F9B" w:rsidRPr="001E4C31" w:rsidRDefault="000F19A2" w:rsidP="001E4C31">
            <w:pPr>
              <w:jc w:val="center"/>
              <w:rPr>
                <w:rFonts w:cs="Arial"/>
                <w:i/>
                <w:sz w:val="20"/>
                <w:szCs w:val="20"/>
              </w:rPr>
            </w:pPr>
            <w:r>
              <w:rPr>
                <w:rFonts w:cs="Arial"/>
                <w:i/>
                <w:sz w:val="20"/>
                <w:szCs w:val="20"/>
              </w:rPr>
              <w:t>--</w:t>
            </w:r>
          </w:p>
        </w:tc>
        <w:tc>
          <w:tcPr>
            <w:tcW w:w="1399" w:type="dxa"/>
            <w:shd w:val="pct5" w:color="000000" w:fill="FFFFFF"/>
            <w:vAlign w:val="bottom"/>
          </w:tcPr>
          <w:p w14:paraId="12CE8E71" w14:textId="77777777" w:rsidR="00836F9B" w:rsidRPr="001E4C31" w:rsidRDefault="000F19A2" w:rsidP="001E4C31">
            <w:pPr>
              <w:jc w:val="center"/>
              <w:rPr>
                <w:rFonts w:cs="Arial"/>
                <w:i/>
                <w:sz w:val="20"/>
                <w:szCs w:val="20"/>
              </w:rPr>
            </w:pPr>
            <w:r>
              <w:rPr>
                <w:rFonts w:cs="Arial"/>
                <w:i/>
                <w:sz w:val="20"/>
                <w:szCs w:val="20"/>
              </w:rPr>
              <w:t>--</w:t>
            </w:r>
          </w:p>
        </w:tc>
        <w:tc>
          <w:tcPr>
            <w:tcW w:w="1473" w:type="dxa"/>
            <w:shd w:val="pct5" w:color="000000" w:fill="FFFFFF"/>
            <w:vAlign w:val="bottom"/>
          </w:tcPr>
          <w:p w14:paraId="193B2F03" w14:textId="77777777" w:rsidR="00836F9B" w:rsidRPr="001E4C31" w:rsidRDefault="000F19A2" w:rsidP="001E4C31">
            <w:pPr>
              <w:jc w:val="center"/>
              <w:rPr>
                <w:rFonts w:cs="Arial"/>
                <w:i/>
                <w:sz w:val="20"/>
                <w:szCs w:val="20"/>
              </w:rPr>
            </w:pPr>
            <w:r>
              <w:rPr>
                <w:rFonts w:cs="Arial"/>
                <w:i/>
                <w:sz w:val="20"/>
                <w:szCs w:val="20"/>
              </w:rPr>
              <w:t>--</w:t>
            </w:r>
          </w:p>
        </w:tc>
        <w:tc>
          <w:tcPr>
            <w:tcW w:w="1736" w:type="dxa"/>
            <w:shd w:val="pct5" w:color="000000" w:fill="FFFFFF"/>
            <w:vAlign w:val="bottom"/>
          </w:tcPr>
          <w:p w14:paraId="0E875524" w14:textId="77777777" w:rsidR="00836F9B" w:rsidRPr="000F19A2" w:rsidRDefault="00836F9B" w:rsidP="001E4C31">
            <w:pPr>
              <w:jc w:val="center"/>
              <w:rPr>
                <w:rFonts w:cs="Arial"/>
                <w:i/>
                <w:sz w:val="20"/>
                <w:szCs w:val="20"/>
              </w:rPr>
            </w:pPr>
          </w:p>
        </w:tc>
      </w:tr>
    </w:tbl>
    <w:p w14:paraId="60E8047C" w14:textId="77777777" w:rsidR="00FD3EE7" w:rsidRPr="00FD3EE7" w:rsidRDefault="00FD3EE7" w:rsidP="00C41E61">
      <w:pPr>
        <w:pStyle w:val="Heading1"/>
        <w:rPr>
          <w:b w:val="0"/>
          <w:sz w:val="20"/>
          <w:szCs w:val="20"/>
        </w:rPr>
      </w:pPr>
      <w:bookmarkStart w:id="78" w:name="_Toc304800210"/>
      <w:bookmarkStart w:id="79" w:name="_Toc324340489"/>
    </w:p>
    <w:p w14:paraId="4000EE20" w14:textId="77777777" w:rsidR="00C069A2" w:rsidRDefault="00CF3FF0" w:rsidP="00C41E61">
      <w:pPr>
        <w:pStyle w:val="Heading1"/>
      </w:pPr>
      <w:bookmarkStart w:id="80" w:name="_Toc491175835"/>
      <w:r w:rsidRPr="00CF3FF0">
        <w:t xml:space="preserve">Section </w:t>
      </w:r>
      <w:r w:rsidR="00C069A2" w:rsidRPr="00CF3FF0">
        <w:t>2</w:t>
      </w:r>
      <w:r w:rsidR="003129E8" w:rsidRPr="00CF3FF0">
        <w:t>.</w:t>
      </w:r>
      <w:r w:rsidR="00C069A2" w:rsidRPr="00CF3FF0">
        <w:t xml:space="preserve"> Calculation Methods</w:t>
      </w:r>
      <w:bookmarkEnd w:id="78"/>
      <w:bookmarkEnd w:id="79"/>
      <w:bookmarkEnd w:id="80"/>
    </w:p>
    <w:p w14:paraId="7EBC1CBC" w14:textId="77777777" w:rsidR="00BC2A83" w:rsidRPr="00ED7D3D" w:rsidRDefault="00ED7D3D" w:rsidP="0007589E">
      <w:pPr>
        <w:pStyle w:val="Caption"/>
        <w:jc w:val="center"/>
        <w:rPr>
          <w:rFonts w:cs="Arial"/>
          <w:b w:val="0"/>
          <w:sz w:val="22"/>
          <w:szCs w:val="22"/>
        </w:rPr>
      </w:pPr>
      <w:bookmarkStart w:id="81" w:name="_Toc491176173"/>
      <w:r>
        <w:t xml:space="preserve">Table </w:t>
      </w:r>
      <w:r w:rsidR="007C4CAE">
        <w:fldChar w:fldCharType="begin"/>
      </w:r>
      <w:r w:rsidR="007C4CAE">
        <w:instrText xml:space="preserve"> SEQ Table \* ARABIC </w:instrText>
      </w:r>
      <w:r w:rsidR="007C4CAE">
        <w:fldChar w:fldCharType="separate"/>
      </w:r>
      <w:r w:rsidR="00A04EB0">
        <w:rPr>
          <w:noProof/>
        </w:rPr>
        <w:t>5</w:t>
      </w:r>
      <w:r w:rsidR="007C4CAE">
        <w:rPr>
          <w:noProof/>
        </w:rPr>
        <w:fldChar w:fldCharType="end"/>
      </w:r>
      <w:r w:rsidR="0007589E">
        <w:t xml:space="preserve"> Baseline </w:t>
      </w:r>
      <w:r>
        <w:t>by Measure Application Type</w:t>
      </w:r>
      <w:bookmarkEnd w:id="81"/>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465AFD" w:rsidRPr="001E4C31" w14:paraId="09A587CA" w14:textId="77777777" w:rsidTr="00B8365C">
        <w:trPr>
          <w:trHeight w:val="927"/>
        </w:trPr>
        <w:tc>
          <w:tcPr>
            <w:tcW w:w="2808" w:type="dxa"/>
            <w:shd w:val="clear" w:color="auto" w:fill="262626"/>
            <w:vAlign w:val="bottom"/>
          </w:tcPr>
          <w:p w14:paraId="11A753B5" w14:textId="77777777" w:rsidR="00465AFD" w:rsidRPr="00465AFD" w:rsidRDefault="00465AFD" w:rsidP="00465AFD">
            <w:pPr>
              <w:rPr>
                <w:rStyle w:val="Strong"/>
                <w:bCs w:val="0"/>
                <w:color w:val="F2F2F2"/>
              </w:rPr>
            </w:pPr>
            <w:bookmarkStart w:id="82" w:name="_Toc324340490"/>
            <w:bookmarkStart w:id="83" w:name="_Toc383441995"/>
            <w:bookmarkStart w:id="84" w:name="_Toc304800211"/>
            <w:bookmarkStart w:id="85" w:name="_Toc324318365"/>
            <w:bookmarkStart w:id="86" w:name="_Toc324340494"/>
            <w:r w:rsidRPr="00465AFD">
              <w:rPr>
                <w:rStyle w:val="Strong"/>
                <w:bCs w:val="0"/>
                <w:color w:val="F2F2F2"/>
              </w:rPr>
              <w:t>Measure Application Type</w:t>
            </w:r>
            <w:bookmarkEnd w:id="82"/>
            <w:bookmarkEnd w:id="83"/>
          </w:p>
        </w:tc>
        <w:tc>
          <w:tcPr>
            <w:tcW w:w="1710" w:type="dxa"/>
            <w:shd w:val="clear" w:color="auto" w:fill="262626"/>
            <w:vAlign w:val="bottom"/>
          </w:tcPr>
          <w:p w14:paraId="5B430086" w14:textId="77777777" w:rsidR="00465AFD" w:rsidRPr="00465AFD" w:rsidRDefault="00465AFD" w:rsidP="00465AFD">
            <w:pPr>
              <w:rPr>
                <w:rStyle w:val="Strong"/>
                <w:bCs w:val="0"/>
                <w:color w:val="F2F2F2"/>
              </w:rPr>
            </w:pPr>
            <w:bookmarkStart w:id="87" w:name="_Toc324340491"/>
            <w:bookmarkStart w:id="88" w:name="_Toc383441996"/>
            <w:r w:rsidRPr="00465AFD">
              <w:rPr>
                <w:rStyle w:val="Strong"/>
                <w:bCs w:val="0"/>
                <w:color w:val="F2F2F2"/>
              </w:rPr>
              <w:t>Measure Life Basis</w:t>
            </w:r>
            <w:bookmarkEnd w:id="87"/>
            <w:bookmarkEnd w:id="88"/>
          </w:p>
        </w:tc>
        <w:tc>
          <w:tcPr>
            <w:tcW w:w="2790" w:type="dxa"/>
            <w:shd w:val="clear" w:color="auto" w:fill="262626"/>
            <w:vAlign w:val="bottom"/>
          </w:tcPr>
          <w:p w14:paraId="3477F03E" w14:textId="77777777" w:rsidR="00465AFD" w:rsidRPr="00465AFD" w:rsidRDefault="00465AFD" w:rsidP="00465AFD">
            <w:pPr>
              <w:rPr>
                <w:rStyle w:val="Strong"/>
                <w:bCs w:val="0"/>
                <w:color w:val="F2F2F2"/>
              </w:rPr>
            </w:pPr>
            <w:bookmarkStart w:id="89" w:name="_Toc324340492"/>
            <w:bookmarkStart w:id="90" w:name="_Toc383441997"/>
            <w:r w:rsidRPr="00465AFD">
              <w:rPr>
                <w:rStyle w:val="Strong"/>
                <w:bCs w:val="0"/>
                <w:color w:val="F2F2F2"/>
              </w:rPr>
              <w:t>First Baseline Period: Energy Savings Baseline</w:t>
            </w:r>
            <w:bookmarkEnd w:id="89"/>
            <w:bookmarkEnd w:id="90"/>
          </w:p>
        </w:tc>
        <w:tc>
          <w:tcPr>
            <w:tcW w:w="2268" w:type="dxa"/>
            <w:shd w:val="clear" w:color="auto" w:fill="262626"/>
            <w:vAlign w:val="bottom"/>
          </w:tcPr>
          <w:p w14:paraId="78485303" w14:textId="77777777" w:rsidR="00465AFD" w:rsidRPr="00465AFD" w:rsidRDefault="00465AFD" w:rsidP="00465AFD">
            <w:pPr>
              <w:rPr>
                <w:rStyle w:val="Strong"/>
                <w:bCs w:val="0"/>
                <w:color w:val="F2F2F2"/>
              </w:rPr>
            </w:pPr>
            <w:bookmarkStart w:id="91" w:name="_Toc324340493"/>
            <w:bookmarkStart w:id="92" w:name="_Toc383441998"/>
            <w:r w:rsidRPr="00465AFD">
              <w:rPr>
                <w:rStyle w:val="Strong"/>
                <w:bCs w:val="0"/>
                <w:color w:val="F2F2F2"/>
              </w:rPr>
              <w:t>Second Baseline Period: Energy Savings Baseline</w:t>
            </w:r>
            <w:bookmarkEnd w:id="91"/>
            <w:bookmarkEnd w:id="92"/>
          </w:p>
        </w:tc>
      </w:tr>
      <w:tr w:rsidR="00465AFD" w:rsidRPr="00C41E61" w14:paraId="1EF412FC" w14:textId="77777777" w:rsidTr="00B8365C">
        <w:tc>
          <w:tcPr>
            <w:tcW w:w="2808" w:type="dxa"/>
            <w:shd w:val="pct5" w:color="000000" w:fill="FFFFFF"/>
            <w:vAlign w:val="bottom"/>
          </w:tcPr>
          <w:p w14:paraId="2B359455" w14:textId="77777777" w:rsidR="00465AFD" w:rsidRDefault="00465AFD" w:rsidP="00B8365C">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41884F8E" w14:textId="77777777" w:rsidR="00465AFD" w:rsidRPr="001E4C31" w:rsidRDefault="00465AFD" w:rsidP="00B8365C">
            <w:pPr>
              <w:spacing w:before="120" w:after="120"/>
              <w:jc w:val="center"/>
              <w:rPr>
                <w:rStyle w:val="Strong"/>
                <w:b w:val="0"/>
              </w:rPr>
            </w:pPr>
            <w:r>
              <w:rPr>
                <w:rStyle w:val="Strong"/>
                <w:b w:val="0"/>
              </w:rPr>
              <w:t>EUL</w:t>
            </w:r>
          </w:p>
        </w:tc>
        <w:tc>
          <w:tcPr>
            <w:tcW w:w="2790" w:type="dxa"/>
            <w:shd w:val="pct5" w:color="000000" w:fill="FFFFFF"/>
            <w:vAlign w:val="bottom"/>
          </w:tcPr>
          <w:p w14:paraId="2560C9C9" w14:textId="77777777" w:rsidR="00465AFD" w:rsidRDefault="00465AFD" w:rsidP="00B8365C">
            <w:pPr>
              <w:spacing w:before="120" w:after="120"/>
              <w:jc w:val="center"/>
              <w:rPr>
                <w:sz w:val="20"/>
                <w:szCs w:val="20"/>
              </w:rPr>
            </w:pPr>
            <w:r>
              <w:rPr>
                <w:sz w:val="20"/>
                <w:szCs w:val="20"/>
              </w:rPr>
              <w:t>Code Baseline</w:t>
            </w:r>
          </w:p>
        </w:tc>
        <w:tc>
          <w:tcPr>
            <w:tcW w:w="2268" w:type="dxa"/>
            <w:shd w:val="pct5" w:color="000000" w:fill="FFFFFF"/>
            <w:vAlign w:val="bottom"/>
          </w:tcPr>
          <w:p w14:paraId="0D29FDA3" w14:textId="77777777" w:rsidR="00465AFD" w:rsidRDefault="00465AFD" w:rsidP="00B8365C">
            <w:pPr>
              <w:spacing w:before="120" w:after="120"/>
              <w:jc w:val="center"/>
              <w:rPr>
                <w:sz w:val="20"/>
                <w:szCs w:val="20"/>
              </w:rPr>
            </w:pPr>
            <w:r>
              <w:rPr>
                <w:sz w:val="20"/>
                <w:szCs w:val="20"/>
              </w:rPr>
              <w:t>N/A</w:t>
            </w:r>
          </w:p>
        </w:tc>
      </w:tr>
    </w:tbl>
    <w:p w14:paraId="14890CF0" w14:textId="77777777" w:rsidR="00465AFD" w:rsidRPr="007F2147" w:rsidRDefault="00465AFD" w:rsidP="00465AFD">
      <w:pPr>
        <w:rPr>
          <w:rFonts w:cs="Arial"/>
          <w:sz w:val="20"/>
          <w:szCs w:val="20"/>
        </w:rPr>
      </w:pPr>
      <w:r w:rsidRPr="007F2147">
        <w:rPr>
          <w:rFonts w:cs="Arial"/>
          <w:sz w:val="20"/>
          <w:szCs w:val="20"/>
        </w:rPr>
        <w:t xml:space="preserve">Notes: </w:t>
      </w:r>
    </w:p>
    <w:p w14:paraId="68C22049" w14:textId="5F843AEE" w:rsidR="00465AFD" w:rsidRPr="007F2147" w:rsidRDefault="00CE3E2A" w:rsidP="00465AFD">
      <w:pPr>
        <w:numPr>
          <w:ilvl w:val="0"/>
          <w:numId w:val="19"/>
        </w:numPr>
        <w:rPr>
          <w:rFonts w:cs="Arial"/>
          <w:sz w:val="20"/>
          <w:szCs w:val="20"/>
        </w:rPr>
      </w:pPr>
      <w:r>
        <w:rPr>
          <w:rFonts w:cs="Arial"/>
          <w:sz w:val="20"/>
          <w:szCs w:val="20"/>
        </w:rPr>
        <w:t xml:space="preserve">For </w:t>
      </w:r>
      <w:r w:rsidR="00465AFD">
        <w:rPr>
          <w:rFonts w:cs="Arial"/>
          <w:sz w:val="20"/>
          <w:szCs w:val="20"/>
        </w:rPr>
        <w:t>REA</w:t>
      </w:r>
      <w:r w:rsidR="00465AFD" w:rsidRPr="007F2147">
        <w:rPr>
          <w:rFonts w:cs="Arial"/>
          <w:sz w:val="20"/>
          <w:szCs w:val="20"/>
        </w:rPr>
        <w:t xml:space="preserve"> measures, First Baseline is the baseline for the full EUL.</w:t>
      </w:r>
      <w:r w:rsidR="00465AFD">
        <w:rPr>
          <w:rFonts w:cs="Arial"/>
          <w:sz w:val="20"/>
          <w:szCs w:val="20"/>
        </w:rPr>
        <w:t xml:space="preserve"> There is no second baseline.</w:t>
      </w:r>
    </w:p>
    <w:p w14:paraId="71FEC0F4" w14:textId="77777777" w:rsidR="00C069A2" w:rsidRDefault="00C069A2" w:rsidP="00D20486">
      <w:pPr>
        <w:pStyle w:val="Heading2"/>
      </w:pPr>
      <w:bookmarkStart w:id="93" w:name="_Toc491175836"/>
      <w:r>
        <w:t xml:space="preserve">2.1 </w:t>
      </w:r>
      <w:r w:rsidR="007878B9">
        <w:t xml:space="preserve">Electric </w:t>
      </w:r>
      <w:r>
        <w:t>Energy Savings Estimation Methodologies</w:t>
      </w:r>
      <w:bookmarkEnd w:id="84"/>
      <w:bookmarkEnd w:id="85"/>
      <w:bookmarkEnd w:id="86"/>
      <w:bookmarkEnd w:id="93"/>
    </w:p>
    <w:p w14:paraId="553D5257" w14:textId="77777777" w:rsidR="00901D8A" w:rsidRPr="00901D8A" w:rsidRDefault="00901D8A" w:rsidP="00901D8A">
      <w:pPr>
        <w:rPr>
          <w:sz w:val="20"/>
          <w:szCs w:val="20"/>
        </w:rPr>
      </w:pPr>
      <w:bookmarkStart w:id="94" w:name="_Toc304800212"/>
      <w:bookmarkStart w:id="95" w:name="_Toc324318366"/>
      <w:bookmarkStart w:id="96" w:name="_Toc324340495"/>
      <w:r w:rsidRPr="00901D8A">
        <w:rPr>
          <w:sz w:val="20"/>
          <w:szCs w:val="20"/>
        </w:rPr>
        <w:t>Based on data and analysis provided by the Emerging Technologies Report</w:t>
      </w:r>
      <w:r>
        <w:rPr>
          <w:sz w:val="20"/>
          <w:szCs w:val="20"/>
        </w:rPr>
        <w:fldChar w:fldCharType="begin"/>
      </w:r>
      <w:r>
        <w:rPr>
          <w:sz w:val="20"/>
          <w:szCs w:val="20"/>
        </w:rPr>
        <w:instrText xml:space="preserve"> NOTEREF _Ref382901716 \f \h </w:instrText>
      </w:r>
      <w:r>
        <w:rPr>
          <w:sz w:val="20"/>
          <w:szCs w:val="20"/>
        </w:rPr>
      </w:r>
      <w:r>
        <w:rPr>
          <w:sz w:val="20"/>
          <w:szCs w:val="20"/>
        </w:rPr>
        <w:fldChar w:fldCharType="separate"/>
      </w:r>
      <w:r w:rsidRPr="00901D8A">
        <w:rPr>
          <w:rStyle w:val="EndnoteReference"/>
        </w:rPr>
        <w:t>6</w:t>
      </w:r>
      <w:r>
        <w:rPr>
          <w:sz w:val="20"/>
          <w:szCs w:val="20"/>
        </w:rPr>
        <w:fldChar w:fldCharType="end"/>
      </w:r>
      <w:r>
        <w:rPr>
          <w:sz w:val="20"/>
          <w:szCs w:val="20"/>
        </w:rPr>
        <w:t xml:space="preserve"> </w:t>
      </w:r>
      <w:r w:rsidRPr="00901D8A">
        <w:rPr>
          <w:sz w:val="20"/>
          <w:szCs w:val="20"/>
        </w:rPr>
        <w:t>and several ozone generator manufacturers, we recognize that in addition to the natural gas savings from ozone generation, there are potential impacts to site electrical energy use. The potential impacts are discussed below; however, there is currently insufficient data to accurately quantify the net magnitude of the impacts for this analysis.</w:t>
      </w:r>
    </w:p>
    <w:p w14:paraId="2C8CBDA1" w14:textId="77777777" w:rsidR="00901D8A" w:rsidRPr="00901D8A" w:rsidRDefault="00901D8A" w:rsidP="00901D8A">
      <w:pPr>
        <w:rPr>
          <w:sz w:val="20"/>
          <w:szCs w:val="20"/>
        </w:rPr>
      </w:pPr>
    </w:p>
    <w:p w14:paraId="2E53A427" w14:textId="77777777" w:rsidR="00901D8A" w:rsidRPr="00901D8A" w:rsidRDefault="00901D8A" w:rsidP="00901D8A">
      <w:pPr>
        <w:numPr>
          <w:ilvl w:val="0"/>
          <w:numId w:val="22"/>
        </w:numPr>
        <w:rPr>
          <w:sz w:val="20"/>
          <w:szCs w:val="20"/>
        </w:rPr>
      </w:pPr>
      <w:r w:rsidRPr="00901D8A">
        <w:rPr>
          <w:b/>
          <w:sz w:val="20"/>
          <w:szCs w:val="20"/>
        </w:rPr>
        <w:t>Hot Water Pump(s)</w:t>
      </w:r>
      <w:r w:rsidRPr="00901D8A">
        <w:rPr>
          <w:sz w:val="20"/>
          <w:szCs w:val="20"/>
        </w:rPr>
        <w:t xml:space="preserve"> [kWh]: reduced hot water consumption may result in additional electrical savings by reducing the pumping load.</w:t>
      </w:r>
    </w:p>
    <w:p w14:paraId="59CD3DC3" w14:textId="77777777" w:rsidR="00901D8A" w:rsidRPr="00901D8A" w:rsidRDefault="00901D8A" w:rsidP="00901D8A">
      <w:pPr>
        <w:numPr>
          <w:ilvl w:val="0"/>
          <w:numId w:val="22"/>
        </w:numPr>
        <w:rPr>
          <w:sz w:val="20"/>
          <w:szCs w:val="20"/>
        </w:rPr>
      </w:pPr>
      <w:r w:rsidRPr="00901D8A">
        <w:rPr>
          <w:b/>
          <w:sz w:val="20"/>
          <w:szCs w:val="20"/>
        </w:rPr>
        <w:t>Clothes Washer</w:t>
      </w:r>
      <w:r w:rsidRPr="00901D8A">
        <w:rPr>
          <w:sz w:val="20"/>
          <w:szCs w:val="20"/>
        </w:rPr>
        <w:t xml:space="preserve"> [kWh]: retrofitting existing washer to utilize ozone can reduce the total washer cycle length saving electrical energy for each cycle.</w:t>
      </w:r>
    </w:p>
    <w:p w14:paraId="31C75AA0" w14:textId="77777777" w:rsidR="00901D8A" w:rsidRPr="00901D8A" w:rsidRDefault="00901D8A" w:rsidP="00901D8A">
      <w:pPr>
        <w:numPr>
          <w:ilvl w:val="0"/>
          <w:numId w:val="22"/>
        </w:numPr>
        <w:rPr>
          <w:sz w:val="20"/>
          <w:szCs w:val="20"/>
        </w:rPr>
      </w:pPr>
      <w:r w:rsidRPr="00901D8A">
        <w:rPr>
          <w:b/>
          <w:sz w:val="20"/>
          <w:szCs w:val="20"/>
        </w:rPr>
        <w:t>Clothes Dryer</w:t>
      </w:r>
      <w:r w:rsidRPr="00901D8A">
        <w:rPr>
          <w:sz w:val="20"/>
          <w:szCs w:val="20"/>
        </w:rPr>
        <w:t xml:space="preserve"> [kWh and </w:t>
      </w:r>
      <w:proofErr w:type="spellStart"/>
      <w:r w:rsidRPr="00901D8A">
        <w:rPr>
          <w:sz w:val="20"/>
          <w:szCs w:val="20"/>
        </w:rPr>
        <w:t>therms</w:t>
      </w:r>
      <w:proofErr w:type="spellEnd"/>
      <w:r w:rsidRPr="00901D8A">
        <w:rPr>
          <w:sz w:val="20"/>
          <w:szCs w:val="20"/>
        </w:rPr>
        <w:t>]: the reduced washer cycle length may decrease the dampness of the clothes when they move to the dryer. This can result in shorter runtimes which result in gas and electrical savings.</w:t>
      </w:r>
    </w:p>
    <w:p w14:paraId="47EC7E79" w14:textId="77777777" w:rsidR="00901D8A" w:rsidRPr="00901D8A" w:rsidRDefault="00901D8A" w:rsidP="00901D8A">
      <w:pPr>
        <w:numPr>
          <w:ilvl w:val="0"/>
          <w:numId w:val="22"/>
        </w:numPr>
        <w:rPr>
          <w:sz w:val="20"/>
          <w:szCs w:val="20"/>
        </w:rPr>
      </w:pPr>
      <w:r w:rsidRPr="00901D8A">
        <w:rPr>
          <w:b/>
          <w:sz w:val="20"/>
          <w:szCs w:val="20"/>
        </w:rPr>
        <w:t>Ozone</w:t>
      </w:r>
      <w:r>
        <w:rPr>
          <w:b/>
          <w:sz w:val="20"/>
          <w:szCs w:val="20"/>
        </w:rPr>
        <w:t xml:space="preserve"> </w:t>
      </w:r>
      <w:r w:rsidRPr="00901D8A">
        <w:rPr>
          <w:b/>
          <w:sz w:val="20"/>
          <w:szCs w:val="20"/>
        </w:rPr>
        <w:t>Generator</w:t>
      </w:r>
      <w:r w:rsidRPr="00901D8A">
        <w:rPr>
          <w:sz w:val="20"/>
          <w:szCs w:val="20"/>
        </w:rPr>
        <w:t xml:space="preserve"> [kWh]: the ozone generator uses electricity to generate ozone and thus will add to the site energy use.</w:t>
      </w:r>
    </w:p>
    <w:p w14:paraId="56BCB355" w14:textId="77777777" w:rsidR="00901D8A" w:rsidRPr="00901D8A" w:rsidRDefault="00901D8A" w:rsidP="00901D8A">
      <w:pPr>
        <w:rPr>
          <w:sz w:val="20"/>
          <w:szCs w:val="20"/>
        </w:rPr>
      </w:pPr>
    </w:p>
    <w:p w14:paraId="2038B9BE" w14:textId="77777777" w:rsidR="00901D8A" w:rsidRDefault="00901D8A" w:rsidP="00901D8A">
      <w:r w:rsidRPr="00901D8A">
        <w:rPr>
          <w:sz w:val="20"/>
          <w:szCs w:val="20"/>
        </w:rPr>
        <w:t>As this technology matures and becomes more widely adopted, further data may be available to quantify the net electrical energy impacts.</w:t>
      </w:r>
    </w:p>
    <w:p w14:paraId="3B3A7D26" w14:textId="77777777" w:rsidR="00542990" w:rsidRDefault="0030550A" w:rsidP="00901D8A">
      <w:pPr>
        <w:pStyle w:val="Heading2"/>
        <w:keepNext w:val="0"/>
      </w:pPr>
      <w:bookmarkStart w:id="97" w:name="_Toc491175837"/>
      <w:r>
        <w:lastRenderedPageBreak/>
        <w:t>2.2. Demand R</w:t>
      </w:r>
      <w:r w:rsidR="00C069A2">
        <w:t>eduction Estimation Methodologies</w:t>
      </w:r>
      <w:bookmarkEnd w:id="94"/>
      <w:bookmarkEnd w:id="95"/>
      <w:bookmarkEnd w:id="96"/>
      <w:bookmarkEnd w:id="97"/>
    </w:p>
    <w:p w14:paraId="4DDFED73" w14:textId="77777777" w:rsidR="00901D8A" w:rsidRPr="00901D8A" w:rsidRDefault="00901D8A" w:rsidP="00901D8A">
      <w:pPr>
        <w:rPr>
          <w:sz w:val="20"/>
        </w:rPr>
      </w:pPr>
      <w:r w:rsidRPr="00901D8A">
        <w:rPr>
          <w:sz w:val="20"/>
        </w:rPr>
        <w:t>There</w:t>
      </w:r>
      <w:r>
        <w:rPr>
          <w:sz w:val="20"/>
        </w:rPr>
        <w:t xml:space="preserve"> is no anticipated demand reduction associated with this measure.</w:t>
      </w:r>
    </w:p>
    <w:p w14:paraId="22A53C08" w14:textId="77777777" w:rsidR="00B629E1" w:rsidRPr="00B629E1" w:rsidRDefault="00276ED1" w:rsidP="00B629E1">
      <w:pPr>
        <w:pStyle w:val="Heading2"/>
      </w:pPr>
      <w:bookmarkStart w:id="98" w:name="_Toc304800213"/>
      <w:bookmarkStart w:id="99" w:name="_Toc324318367"/>
      <w:bookmarkStart w:id="100" w:name="_Toc324340496"/>
      <w:bookmarkStart w:id="101" w:name="_Toc491175838"/>
      <w:r w:rsidRPr="00BF0332">
        <w:t xml:space="preserve">2.3. </w:t>
      </w:r>
      <w:r w:rsidR="007878B9" w:rsidRPr="00BF0332">
        <w:t>Gas Energy Savings Estimation Methodologies</w:t>
      </w:r>
      <w:bookmarkStart w:id="102" w:name="_Toc304800214"/>
      <w:bookmarkStart w:id="103" w:name="_Toc324318368"/>
      <w:bookmarkStart w:id="104" w:name="_Toc324340497"/>
      <w:bookmarkEnd w:id="98"/>
      <w:bookmarkEnd w:id="99"/>
      <w:bookmarkEnd w:id="100"/>
      <w:bookmarkEnd w:id="101"/>
    </w:p>
    <w:p w14:paraId="37FCBDEC" w14:textId="77777777" w:rsidR="00B629E1" w:rsidRPr="00901D8A" w:rsidRDefault="00B629E1" w:rsidP="00B629E1">
      <w:pPr>
        <w:rPr>
          <w:rFonts w:cs="Arial"/>
          <w:sz w:val="20"/>
          <w:szCs w:val="20"/>
        </w:rPr>
      </w:pPr>
      <w:r w:rsidRPr="00901D8A">
        <w:rPr>
          <w:rFonts w:cs="Arial"/>
          <w:sz w:val="20"/>
          <w:szCs w:val="20"/>
        </w:rPr>
        <w:t xml:space="preserve">Gas savings calculations for this measure were based solely on the reduction in hot water use. In calculating </w:t>
      </w:r>
      <w:proofErr w:type="spellStart"/>
      <w:r w:rsidRPr="00901D8A">
        <w:rPr>
          <w:rFonts w:cs="Arial"/>
          <w:sz w:val="20"/>
          <w:szCs w:val="20"/>
        </w:rPr>
        <w:t>therm</w:t>
      </w:r>
      <w:proofErr w:type="spellEnd"/>
      <w:r w:rsidRPr="00901D8A">
        <w:rPr>
          <w:rFonts w:cs="Arial"/>
          <w:sz w:val="20"/>
          <w:szCs w:val="20"/>
        </w:rPr>
        <w:t xml:space="preserve"> savings based on hot water use, four main components are needed:</w:t>
      </w:r>
    </w:p>
    <w:p w14:paraId="760ED75B" w14:textId="77777777" w:rsidR="00B629E1" w:rsidRPr="00901D8A" w:rsidRDefault="00B629E1" w:rsidP="00B629E1">
      <w:pPr>
        <w:numPr>
          <w:ilvl w:val="0"/>
          <w:numId w:val="26"/>
        </w:numPr>
        <w:rPr>
          <w:rFonts w:cs="Arial"/>
          <w:sz w:val="20"/>
          <w:szCs w:val="20"/>
        </w:rPr>
      </w:pPr>
      <w:r w:rsidRPr="00901D8A">
        <w:rPr>
          <w:rFonts w:cs="Arial"/>
          <w:sz w:val="20"/>
          <w:szCs w:val="20"/>
        </w:rPr>
        <w:t xml:space="preserve">Gas Energy Intensity for Hot Water (a measure of boiler efficiency) </w:t>
      </w:r>
    </w:p>
    <w:p w14:paraId="3268A8FC" w14:textId="77777777" w:rsidR="00B629E1" w:rsidRPr="00901D8A" w:rsidRDefault="00B629E1" w:rsidP="00B629E1">
      <w:pPr>
        <w:numPr>
          <w:ilvl w:val="0"/>
          <w:numId w:val="26"/>
        </w:numPr>
        <w:rPr>
          <w:rFonts w:cs="Arial"/>
          <w:sz w:val="20"/>
          <w:szCs w:val="20"/>
        </w:rPr>
      </w:pPr>
      <w:r w:rsidRPr="00901D8A">
        <w:rPr>
          <w:rFonts w:cs="Arial"/>
          <w:sz w:val="20"/>
          <w:szCs w:val="20"/>
        </w:rPr>
        <w:t>Washer Utilization Factor (a measure of washer use rate)</w:t>
      </w:r>
    </w:p>
    <w:p w14:paraId="742786D0" w14:textId="77777777" w:rsidR="00B629E1" w:rsidRPr="00901D8A" w:rsidRDefault="00B629E1" w:rsidP="00B629E1">
      <w:pPr>
        <w:numPr>
          <w:ilvl w:val="0"/>
          <w:numId w:val="26"/>
        </w:numPr>
        <w:rPr>
          <w:rFonts w:cs="Arial"/>
          <w:sz w:val="20"/>
          <w:szCs w:val="20"/>
        </w:rPr>
      </w:pPr>
      <w:r w:rsidRPr="00901D8A">
        <w:rPr>
          <w:rFonts w:cs="Arial"/>
          <w:sz w:val="20"/>
          <w:szCs w:val="20"/>
        </w:rPr>
        <w:t>Hot Water Usage Factor (a measure of how efficient a baseline machine is)</w:t>
      </w:r>
    </w:p>
    <w:p w14:paraId="2B6BCD67" w14:textId="77777777" w:rsidR="00B629E1" w:rsidRPr="00372255" w:rsidRDefault="00B629E1" w:rsidP="00B629E1">
      <w:pPr>
        <w:rPr>
          <w:sz w:val="20"/>
          <w:szCs w:val="20"/>
        </w:rPr>
      </w:pPr>
      <w:r w:rsidRPr="00372255">
        <w:rPr>
          <w:sz w:val="20"/>
          <w:szCs w:val="20"/>
        </w:rPr>
        <w:t>Hot Water Reduction Factor (a measure of how well the ozone system reduced hot water from the base case).</w:t>
      </w:r>
    </w:p>
    <w:p w14:paraId="61B3BB5D" w14:textId="77777777" w:rsidR="00B629E1" w:rsidRPr="00901D8A" w:rsidRDefault="00B629E1" w:rsidP="00B629E1">
      <w:pPr>
        <w:pStyle w:val="Heading3"/>
        <w:rPr>
          <w:i/>
          <w:iCs/>
          <w:sz w:val="20"/>
          <w:szCs w:val="20"/>
        </w:rPr>
      </w:pPr>
      <w:bookmarkStart w:id="105" w:name="_Toc491175839"/>
      <w:r w:rsidRPr="00901D8A">
        <w:rPr>
          <w:i/>
          <w:iCs/>
          <w:sz w:val="20"/>
          <w:szCs w:val="20"/>
        </w:rPr>
        <w:t>Calculating Gas Energy Intensity for Hot Water (</w:t>
      </w:r>
      <w:proofErr w:type="spellStart"/>
      <w:r w:rsidRPr="00901D8A">
        <w:rPr>
          <w:i/>
          <w:iCs/>
          <w:sz w:val="20"/>
          <w:szCs w:val="20"/>
        </w:rPr>
        <w:t>therms</w:t>
      </w:r>
      <w:proofErr w:type="spellEnd"/>
      <w:r w:rsidRPr="00901D8A">
        <w:rPr>
          <w:i/>
          <w:iCs/>
          <w:sz w:val="20"/>
          <w:szCs w:val="20"/>
        </w:rPr>
        <w:t xml:space="preserve"> / gallon of hot water)</w:t>
      </w:r>
      <w:bookmarkEnd w:id="105"/>
    </w:p>
    <w:p w14:paraId="4727BB8C" w14:textId="77777777" w:rsidR="00B629E1" w:rsidRPr="00901D8A" w:rsidRDefault="00B629E1" w:rsidP="00B629E1">
      <w:pPr>
        <w:rPr>
          <w:rFonts w:cs="Arial"/>
          <w:sz w:val="20"/>
          <w:szCs w:val="20"/>
        </w:rPr>
      </w:pPr>
      <w:r w:rsidRPr="00901D8A">
        <w:rPr>
          <w:rFonts w:cs="Arial"/>
          <w:sz w:val="20"/>
          <w:szCs w:val="20"/>
        </w:rPr>
        <w:t>In order to estimate savings normalized per unit of washer capacity [</w:t>
      </w:r>
      <w:proofErr w:type="spellStart"/>
      <w:r w:rsidRPr="00901D8A">
        <w:rPr>
          <w:rFonts w:cs="Arial"/>
          <w:sz w:val="20"/>
          <w:szCs w:val="20"/>
        </w:rPr>
        <w:t>lbs</w:t>
      </w:r>
      <w:proofErr w:type="spellEnd"/>
      <w:r w:rsidRPr="00901D8A">
        <w:rPr>
          <w:rFonts w:cs="Arial"/>
          <w:sz w:val="20"/>
          <w:szCs w:val="20"/>
        </w:rPr>
        <w:t xml:space="preserve"> of laundry], average gas energy intensity is needed [</w:t>
      </w:r>
      <w:proofErr w:type="spellStart"/>
      <w:r w:rsidRPr="00901D8A">
        <w:rPr>
          <w:rFonts w:cs="Arial"/>
          <w:sz w:val="20"/>
          <w:szCs w:val="20"/>
        </w:rPr>
        <w:t>therms</w:t>
      </w:r>
      <w:proofErr w:type="spellEnd"/>
      <w:r w:rsidRPr="00901D8A">
        <w:rPr>
          <w:rFonts w:cs="Arial"/>
          <w:sz w:val="20"/>
          <w:szCs w:val="20"/>
        </w:rPr>
        <w:t>/gallon]. This factor is a measure of the typical boiler efficiency and is translated into a quantity of hot water used.</w:t>
      </w:r>
    </w:p>
    <w:p w14:paraId="5A52BEC0" w14:textId="77777777" w:rsidR="00B629E1" w:rsidRPr="00901D8A" w:rsidRDefault="00B629E1" w:rsidP="00B629E1">
      <w:pPr>
        <w:rPr>
          <w:rFonts w:cs="Arial"/>
          <w:sz w:val="20"/>
          <w:szCs w:val="20"/>
        </w:rPr>
      </w:pPr>
    </w:p>
    <w:p w14:paraId="336CC43C" w14:textId="77777777" w:rsidR="00B629E1" w:rsidRPr="00901D8A" w:rsidRDefault="00B629E1" w:rsidP="00B629E1">
      <w:pPr>
        <w:rPr>
          <w:rFonts w:cs="Arial"/>
          <w:sz w:val="20"/>
          <w:szCs w:val="20"/>
        </w:rPr>
      </w:pPr>
      <w:r w:rsidRPr="00901D8A">
        <w:rPr>
          <w:rFonts w:cs="Arial"/>
          <w:sz w:val="20"/>
          <w:szCs w:val="20"/>
        </w:rPr>
        <w:t xml:space="preserve">Engineering calculations were developed based on assumptions about the boiler, incoming municipal water temperature, and hot water temperature for the boilers. The base case boiler efficiency is the regulated minimum efficiency (80%), per Title 20 Appliance Standard of the California </w:t>
      </w:r>
      <w:r>
        <w:rPr>
          <w:rFonts w:cs="Arial"/>
          <w:sz w:val="20"/>
          <w:szCs w:val="20"/>
        </w:rPr>
        <w:t>Energy Regulations (October 2012</w:t>
      </w:r>
      <w:r w:rsidRPr="00901D8A">
        <w:rPr>
          <w:rFonts w:cs="Arial"/>
          <w:sz w:val="20"/>
          <w:szCs w:val="20"/>
        </w:rPr>
        <w:t>). Section 1605.1.f.1 (Table</w:t>
      </w:r>
      <w:r>
        <w:rPr>
          <w:rFonts w:cs="Arial"/>
          <w:sz w:val="20"/>
          <w:szCs w:val="20"/>
        </w:rPr>
        <w:t xml:space="preserve"> </w:t>
      </w:r>
      <w:r w:rsidRPr="00901D8A">
        <w:rPr>
          <w:rFonts w:cs="Arial"/>
          <w:sz w:val="20"/>
          <w:szCs w:val="20"/>
        </w:rPr>
        <w:t>F-3) requires that gas hot water supply boilers have a minimum thermal efficiency of 80%.</w:t>
      </w:r>
      <w:r w:rsidRPr="00901D8A">
        <w:rPr>
          <w:rFonts w:cs="Arial"/>
          <w:sz w:val="20"/>
          <w:szCs w:val="20"/>
          <w:vertAlign w:val="superscript"/>
        </w:rPr>
        <w:fldChar w:fldCharType="begin"/>
      </w:r>
      <w:r w:rsidRPr="00901D8A">
        <w:rPr>
          <w:rFonts w:cs="Arial"/>
          <w:sz w:val="20"/>
          <w:szCs w:val="20"/>
          <w:vertAlign w:val="superscript"/>
        </w:rPr>
        <w:instrText xml:space="preserve"> NOTEREF _Ref240445465 \h  \* MERGEFORMAT </w:instrText>
      </w:r>
      <w:r w:rsidRPr="00901D8A">
        <w:rPr>
          <w:rFonts w:cs="Arial"/>
          <w:sz w:val="20"/>
          <w:szCs w:val="20"/>
          <w:vertAlign w:val="superscript"/>
        </w:rPr>
      </w:r>
      <w:r w:rsidRPr="00901D8A">
        <w:rPr>
          <w:rFonts w:cs="Arial"/>
          <w:sz w:val="20"/>
          <w:szCs w:val="20"/>
          <w:vertAlign w:val="superscript"/>
        </w:rPr>
        <w:fldChar w:fldCharType="separate"/>
      </w:r>
      <w:r w:rsidRPr="00901D8A">
        <w:rPr>
          <w:rFonts w:cs="Arial"/>
          <w:sz w:val="20"/>
          <w:szCs w:val="20"/>
          <w:vertAlign w:val="superscript"/>
        </w:rPr>
        <w:t>6</w:t>
      </w:r>
      <w:r w:rsidRPr="00901D8A">
        <w:rPr>
          <w:rFonts w:cs="Arial"/>
          <w:sz w:val="20"/>
          <w:szCs w:val="20"/>
          <w:vertAlign w:val="superscript"/>
        </w:rPr>
        <w:fldChar w:fldCharType="end"/>
      </w:r>
      <w:r w:rsidRPr="00901D8A">
        <w:rPr>
          <w:rFonts w:cs="Arial"/>
          <w:sz w:val="20"/>
          <w:szCs w:val="20"/>
        </w:rPr>
        <w:t xml:space="preserve"> The incoming municipal water temperature is assumed to be 60 °F with the hot water supply temperature assumed to be 135 °F. These temperatures were based on default test procedures on clothes washers set by the Department of Energy’s Office of Energy Efficiency and Renewable Energy</w:t>
      </w:r>
      <w:r w:rsidRPr="00901D8A">
        <w:rPr>
          <w:rStyle w:val="EndnoteReference"/>
          <w:rFonts w:cs="Arial"/>
          <w:sz w:val="20"/>
          <w:szCs w:val="20"/>
        </w:rPr>
        <w:endnoteReference w:id="11"/>
      </w:r>
      <w:r w:rsidRPr="00901D8A">
        <w:rPr>
          <w:rFonts w:cs="Arial"/>
          <w:sz w:val="20"/>
          <w:szCs w:val="20"/>
        </w:rPr>
        <w:t>. Enthalpies for these temperatures were obtained from ASHRAE Fundamentals</w:t>
      </w:r>
      <w:r w:rsidRPr="00901D8A">
        <w:rPr>
          <w:rStyle w:val="EndnoteReference"/>
          <w:rFonts w:cs="Arial"/>
          <w:sz w:val="20"/>
          <w:szCs w:val="20"/>
        </w:rPr>
        <w:endnoteReference w:id="12"/>
      </w:r>
      <w:r w:rsidRPr="00901D8A">
        <w:rPr>
          <w:rFonts w:cs="Arial"/>
          <w:sz w:val="20"/>
          <w:szCs w:val="20"/>
        </w:rPr>
        <w:t>.</w:t>
      </w:r>
    </w:p>
    <w:p w14:paraId="0D0B92A2" w14:textId="77777777" w:rsidR="00B629E1" w:rsidRPr="00901D8A" w:rsidRDefault="00B629E1" w:rsidP="00B629E1">
      <w:pPr>
        <w:rPr>
          <w:rFonts w:cs="Arial"/>
          <w:sz w:val="20"/>
          <w:szCs w:val="20"/>
        </w:rPr>
      </w:pPr>
    </w:p>
    <w:p w14:paraId="100515A4" w14:textId="77777777" w:rsidR="00B629E1" w:rsidRPr="00901D8A" w:rsidRDefault="00B629E1" w:rsidP="00B629E1">
      <w:pPr>
        <w:rPr>
          <w:rFonts w:cs="Arial"/>
          <w:sz w:val="20"/>
          <w:szCs w:val="20"/>
        </w:rPr>
      </w:pPr>
      <w:r w:rsidRPr="00901D8A">
        <w:rPr>
          <w:rFonts w:cs="Arial"/>
          <w:sz w:val="20"/>
          <w:szCs w:val="20"/>
        </w:rPr>
        <w:t>The gas energy intensity is based on the difference in enthalpy between the incoming municipal water and the boiler supply temperature multiplied by the density of water and divided by the boiler efficiency:</w:t>
      </w:r>
    </w:p>
    <w:p w14:paraId="2E1BDE51" w14:textId="77777777" w:rsidR="00B629E1" w:rsidRPr="00901D8A" w:rsidRDefault="00B629E1" w:rsidP="00B629E1">
      <w:pPr>
        <w:rPr>
          <w:rFonts w:cs="Arial"/>
          <w:sz w:val="20"/>
          <w:szCs w:val="20"/>
        </w:rPr>
      </w:pPr>
    </w:p>
    <w:p w14:paraId="7E2C8391"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7BC3EB96" wp14:editId="2631C936">
            <wp:extent cx="5934075" cy="647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34075" cy="647700"/>
                    </a:xfrm>
                    <a:prstGeom prst="rect">
                      <a:avLst/>
                    </a:prstGeom>
                    <a:noFill/>
                    <a:ln>
                      <a:noFill/>
                    </a:ln>
                  </pic:spPr>
                </pic:pic>
              </a:graphicData>
            </a:graphic>
          </wp:inline>
        </w:drawing>
      </w:r>
    </w:p>
    <w:p w14:paraId="0CC05015"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5F00EFDC" wp14:editId="41FEC38E">
            <wp:extent cx="5934075" cy="133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34075" cy="133350"/>
                    </a:xfrm>
                    <a:prstGeom prst="rect">
                      <a:avLst/>
                    </a:prstGeom>
                    <a:noFill/>
                    <a:ln>
                      <a:noFill/>
                    </a:ln>
                  </pic:spPr>
                </pic:pic>
              </a:graphicData>
            </a:graphic>
          </wp:inline>
        </w:drawing>
      </w:r>
    </w:p>
    <w:p w14:paraId="48CCF997"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65A1095B" wp14:editId="6DF0E20A">
            <wp:extent cx="5934075" cy="133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34075" cy="133350"/>
                    </a:xfrm>
                    <a:prstGeom prst="rect">
                      <a:avLst/>
                    </a:prstGeom>
                    <a:noFill/>
                    <a:ln>
                      <a:noFill/>
                    </a:ln>
                  </pic:spPr>
                </pic:pic>
              </a:graphicData>
            </a:graphic>
          </wp:inline>
        </w:drawing>
      </w:r>
    </w:p>
    <w:p w14:paraId="7A8FE607" w14:textId="77777777" w:rsidR="00B629E1" w:rsidRPr="00901D8A" w:rsidRDefault="00B629E1" w:rsidP="00B629E1">
      <w:pPr>
        <w:rPr>
          <w:rFonts w:cs="Arial"/>
          <w:sz w:val="20"/>
          <w:szCs w:val="20"/>
        </w:rPr>
      </w:pPr>
    </w:p>
    <w:p w14:paraId="7D788204" w14:textId="77777777" w:rsidR="00B629E1" w:rsidRPr="00901D8A" w:rsidRDefault="00B629E1" w:rsidP="00B629E1">
      <w:pPr>
        <w:rPr>
          <w:rFonts w:cs="Arial"/>
          <w:sz w:val="20"/>
          <w:szCs w:val="20"/>
        </w:rPr>
      </w:pPr>
      <w:r w:rsidRPr="00901D8A">
        <w:rPr>
          <w:rFonts w:cs="Arial"/>
          <w:sz w:val="20"/>
          <w:szCs w:val="20"/>
        </w:rPr>
        <w:t>This value represents the amount of thermal energy required to raise one gallon of water from 60 ºF to 135 ºF.</w:t>
      </w:r>
    </w:p>
    <w:p w14:paraId="1320CDD0" w14:textId="77777777" w:rsidR="00B629E1" w:rsidRPr="00901D8A" w:rsidRDefault="00B629E1" w:rsidP="00B629E1">
      <w:pPr>
        <w:pStyle w:val="Heading3"/>
        <w:rPr>
          <w:i/>
          <w:iCs/>
          <w:sz w:val="20"/>
          <w:szCs w:val="20"/>
        </w:rPr>
      </w:pPr>
      <w:bookmarkStart w:id="106" w:name="_Toc491175840"/>
      <w:r w:rsidRPr="00901D8A">
        <w:rPr>
          <w:i/>
          <w:iCs/>
          <w:sz w:val="20"/>
          <w:szCs w:val="20"/>
        </w:rPr>
        <w:t xml:space="preserve">Determining Washer Utilization Factor (annual laundry / </w:t>
      </w:r>
      <w:proofErr w:type="spellStart"/>
      <w:r w:rsidRPr="00901D8A">
        <w:rPr>
          <w:i/>
          <w:iCs/>
          <w:sz w:val="20"/>
          <w:szCs w:val="20"/>
        </w:rPr>
        <w:t>lbs</w:t>
      </w:r>
      <w:proofErr w:type="spellEnd"/>
      <w:r w:rsidRPr="00901D8A">
        <w:rPr>
          <w:i/>
          <w:iCs/>
          <w:sz w:val="20"/>
          <w:szCs w:val="20"/>
        </w:rPr>
        <w:t xml:space="preserve"> laundry capacity)</w:t>
      </w:r>
      <w:bookmarkEnd w:id="106"/>
    </w:p>
    <w:p w14:paraId="6C846FDD" w14:textId="77777777" w:rsidR="00B629E1" w:rsidRPr="00901D8A" w:rsidRDefault="00B629E1" w:rsidP="00B629E1">
      <w:pPr>
        <w:rPr>
          <w:rFonts w:cs="Arial"/>
          <w:sz w:val="20"/>
          <w:szCs w:val="20"/>
        </w:rPr>
      </w:pPr>
      <w:r w:rsidRPr="00901D8A">
        <w:rPr>
          <w:rFonts w:cs="Arial"/>
          <w:sz w:val="20"/>
          <w:szCs w:val="20"/>
        </w:rPr>
        <w:t>In order to estimate savings normalized per unit of washer capacity [</w:t>
      </w:r>
      <w:proofErr w:type="spellStart"/>
      <w:r w:rsidRPr="00901D8A">
        <w:rPr>
          <w:rFonts w:cs="Arial"/>
          <w:sz w:val="20"/>
          <w:szCs w:val="20"/>
        </w:rPr>
        <w:t>lbs</w:t>
      </w:r>
      <w:proofErr w:type="spellEnd"/>
      <w:r w:rsidRPr="00901D8A">
        <w:rPr>
          <w:rFonts w:cs="Arial"/>
          <w:sz w:val="20"/>
          <w:szCs w:val="20"/>
        </w:rPr>
        <w:t xml:space="preserve"> of laundry], an average washer utilization factor is needed. That is, the average annual quantity of clothes washed [</w:t>
      </w:r>
      <w:proofErr w:type="spellStart"/>
      <w:r w:rsidRPr="00901D8A">
        <w:rPr>
          <w:rFonts w:cs="Arial"/>
          <w:sz w:val="20"/>
          <w:szCs w:val="20"/>
        </w:rPr>
        <w:t>lbs</w:t>
      </w:r>
      <w:proofErr w:type="spellEnd"/>
      <w:r w:rsidRPr="00901D8A">
        <w:rPr>
          <w:rFonts w:cs="Arial"/>
          <w:sz w:val="20"/>
          <w:szCs w:val="20"/>
        </w:rPr>
        <w:t xml:space="preserve"> of laundry] per unit of washer capacity [</w:t>
      </w:r>
      <w:proofErr w:type="spellStart"/>
      <w:r w:rsidRPr="00901D8A">
        <w:rPr>
          <w:rFonts w:cs="Arial"/>
          <w:sz w:val="20"/>
          <w:szCs w:val="20"/>
        </w:rPr>
        <w:t>lbs</w:t>
      </w:r>
      <w:proofErr w:type="spellEnd"/>
      <w:r w:rsidRPr="00901D8A">
        <w:rPr>
          <w:rFonts w:cs="Arial"/>
          <w:sz w:val="20"/>
          <w:szCs w:val="20"/>
        </w:rPr>
        <w:t xml:space="preserve"> of laundry] is needed. This factor is a measure of the runtime of a typical laundry facility in terms of the common unit [</w:t>
      </w:r>
      <w:proofErr w:type="spellStart"/>
      <w:r w:rsidRPr="00901D8A">
        <w:rPr>
          <w:rFonts w:cs="Arial"/>
          <w:sz w:val="20"/>
          <w:szCs w:val="20"/>
        </w:rPr>
        <w:t>lbs</w:t>
      </w:r>
      <w:proofErr w:type="spellEnd"/>
      <w:r w:rsidRPr="00901D8A">
        <w:rPr>
          <w:rFonts w:cs="Arial"/>
          <w:sz w:val="20"/>
          <w:szCs w:val="20"/>
        </w:rPr>
        <w:t xml:space="preserve"> of laundry capacity].</w:t>
      </w:r>
    </w:p>
    <w:p w14:paraId="2FC4602E" w14:textId="77777777" w:rsidR="00B629E1" w:rsidRPr="00901D8A" w:rsidRDefault="00B629E1" w:rsidP="00B629E1">
      <w:pPr>
        <w:rPr>
          <w:rFonts w:cs="Arial"/>
          <w:sz w:val="20"/>
          <w:szCs w:val="20"/>
        </w:rPr>
      </w:pPr>
    </w:p>
    <w:p w14:paraId="1BAA97F5" w14:textId="77777777" w:rsidR="00B629E1" w:rsidRPr="00901D8A" w:rsidRDefault="00B629E1" w:rsidP="00B629E1">
      <w:pPr>
        <w:rPr>
          <w:rFonts w:cs="Arial"/>
          <w:sz w:val="20"/>
          <w:szCs w:val="20"/>
        </w:rPr>
      </w:pPr>
      <w:r w:rsidRPr="00901D8A">
        <w:rPr>
          <w:rFonts w:cs="Arial"/>
          <w:sz w:val="20"/>
          <w:szCs w:val="20"/>
        </w:rPr>
        <w:t xml:space="preserve">Average utilization factors were generated using data collected from existing ozone laundry projects that received incentives under the NRR-DR program. The median value was used to prevent limited data points from skewing the washer utilization factor. </w:t>
      </w:r>
      <w:r w:rsidRPr="00901D8A">
        <w:rPr>
          <w:rFonts w:cs="Arial"/>
          <w:sz w:val="20"/>
          <w:szCs w:val="20"/>
        </w:rPr>
        <w:fldChar w:fldCharType="begin"/>
      </w:r>
      <w:r w:rsidRPr="00901D8A">
        <w:rPr>
          <w:rFonts w:cs="Arial"/>
          <w:sz w:val="20"/>
          <w:szCs w:val="20"/>
        </w:rPr>
        <w:instrText xml:space="preserve"> REF _Ref240703840 \h  \* MERGEFORMAT </w:instrText>
      </w:r>
      <w:r w:rsidRPr="00901D8A">
        <w:rPr>
          <w:rFonts w:cs="Arial"/>
          <w:sz w:val="20"/>
          <w:szCs w:val="20"/>
        </w:rPr>
      </w:r>
      <w:r w:rsidRPr="00901D8A">
        <w:rPr>
          <w:rFonts w:cs="Arial"/>
          <w:sz w:val="20"/>
          <w:szCs w:val="20"/>
        </w:rPr>
        <w:fldChar w:fldCharType="separate"/>
      </w:r>
      <w:r w:rsidRPr="00A04EB0">
        <w:rPr>
          <w:rFonts w:cs="Arial"/>
          <w:sz w:val="20"/>
          <w:szCs w:val="20"/>
        </w:rPr>
        <w:t xml:space="preserve">Table </w:t>
      </w:r>
      <w:r w:rsidRPr="00A04EB0">
        <w:rPr>
          <w:rFonts w:cs="Arial"/>
          <w:noProof/>
          <w:sz w:val="20"/>
          <w:szCs w:val="20"/>
        </w:rPr>
        <w:t>6</w:t>
      </w:r>
      <w:r w:rsidRPr="00901D8A">
        <w:rPr>
          <w:rFonts w:cs="Arial"/>
          <w:sz w:val="20"/>
          <w:szCs w:val="20"/>
        </w:rPr>
        <w:fldChar w:fldCharType="end"/>
      </w:r>
      <w:r w:rsidRPr="00901D8A">
        <w:rPr>
          <w:rFonts w:cs="Arial"/>
          <w:sz w:val="20"/>
          <w:szCs w:val="20"/>
        </w:rPr>
        <w:t xml:space="preserve"> summarizes data gathered from several NRR-DR projects:</w:t>
      </w:r>
    </w:p>
    <w:p w14:paraId="7A946446" w14:textId="77777777" w:rsidR="00B629E1" w:rsidRPr="00901D8A" w:rsidRDefault="00B629E1" w:rsidP="00B629E1">
      <w:pPr>
        <w:pStyle w:val="Caption"/>
        <w:rPr>
          <w:rFonts w:cs="Arial"/>
        </w:rPr>
      </w:pPr>
    </w:p>
    <w:p w14:paraId="29D7BC34" w14:textId="77777777" w:rsidR="00B629E1" w:rsidRPr="00901D8A" w:rsidRDefault="00B629E1" w:rsidP="00B629E1">
      <w:pPr>
        <w:pStyle w:val="Caption"/>
        <w:jc w:val="center"/>
        <w:rPr>
          <w:rFonts w:cs="Arial"/>
        </w:rPr>
      </w:pPr>
      <w:bookmarkStart w:id="107" w:name="_Toc491176174"/>
      <w:r w:rsidRPr="00901D8A">
        <w:rPr>
          <w:rFonts w:cs="Arial"/>
        </w:rPr>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Pr>
          <w:rFonts w:cs="Arial"/>
          <w:noProof/>
        </w:rPr>
        <w:t>6</w:t>
      </w:r>
      <w:r w:rsidRPr="00901D8A">
        <w:rPr>
          <w:rFonts w:cs="Arial"/>
        </w:rPr>
        <w:fldChar w:fldCharType="end"/>
      </w:r>
      <w:r w:rsidRPr="00901D8A">
        <w:rPr>
          <w:rFonts w:cs="Arial"/>
        </w:rPr>
        <w:t xml:space="preserve"> Washer Utilization Rate</w:t>
      </w:r>
      <w:bookmarkEnd w:id="107"/>
    </w:p>
    <w:p w14:paraId="545BEA96" w14:textId="77777777" w:rsidR="00B629E1" w:rsidRPr="00901D8A" w:rsidRDefault="00B629E1" w:rsidP="00B629E1">
      <w:pPr>
        <w:jc w:val="center"/>
        <w:rPr>
          <w:rFonts w:cs="Arial"/>
          <w:sz w:val="20"/>
          <w:szCs w:val="20"/>
        </w:rPr>
      </w:pPr>
      <w:r w:rsidRPr="00901D8A">
        <w:rPr>
          <w:rFonts w:cs="Arial"/>
          <w:noProof/>
          <w:sz w:val="20"/>
          <w:szCs w:val="20"/>
        </w:rPr>
        <w:lastRenderedPageBreak/>
        <w:drawing>
          <wp:inline distT="0" distB="0" distL="0" distR="0" wp14:anchorId="4D1C8EBF" wp14:editId="5B9D0BA1">
            <wp:extent cx="4581525" cy="29432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81525" cy="2943225"/>
                    </a:xfrm>
                    <a:prstGeom prst="rect">
                      <a:avLst/>
                    </a:prstGeom>
                    <a:noFill/>
                    <a:ln>
                      <a:noFill/>
                    </a:ln>
                  </pic:spPr>
                </pic:pic>
              </a:graphicData>
            </a:graphic>
          </wp:inline>
        </w:drawing>
      </w:r>
    </w:p>
    <w:p w14:paraId="65435235" w14:textId="77777777" w:rsidR="00B629E1" w:rsidRPr="00901D8A" w:rsidRDefault="00B629E1" w:rsidP="00B629E1">
      <w:pPr>
        <w:rPr>
          <w:rFonts w:cs="Arial"/>
          <w:sz w:val="20"/>
          <w:szCs w:val="20"/>
          <w:u w:val="single"/>
        </w:rPr>
      </w:pPr>
      <w:r w:rsidRPr="00901D8A">
        <w:rPr>
          <w:rFonts w:cs="Arial"/>
          <w:sz w:val="20"/>
          <w:szCs w:val="20"/>
          <w:u w:val="single"/>
        </w:rPr>
        <w:t>Note:</w:t>
      </w:r>
    </w:p>
    <w:p w14:paraId="62B5B3A9" w14:textId="77777777" w:rsidR="00B629E1" w:rsidRPr="00901D8A" w:rsidRDefault="00B629E1" w:rsidP="00B629E1">
      <w:pPr>
        <w:rPr>
          <w:rFonts w:cs="Arial"/>
          <w:sz w:val="20"/>
          <w:szCs w:val="20"/>
        </w:rPr>
      </w:pPr>
      <w:r w:rsidRPr="00901D8A">
        <w:rPr>
          <w:rFonts w:cs="Arial"/>
          <w:sz w:val="20"/>
          <w:szCs w:val="20"/>
        </w:rPr>
        <w:t xml:space="preserve">- 4,380 </w:t>
      </w:r>
      <w:proofErr w:type="spellStart"/>
      <w:r w:rsidRPr="00901D8A">
        <w:rPr>
          <w:rFonts w:cs="Arial"/>
          <w:sz w:val="20"/>
          <w:szCs w:val="20"/>
        </w:rPr>
        <w:t>lbs</w:t>
      </w:r>
      <w:proofErr w:type="spellEnd"/>
      <w:r w:rsidRPr="00901D8A">
        <w:rPr>
          <w:rFonts w:cs="Arial"/>
          <w:sz w:val="20"/>
          <w:szCs w:val="20"/>
        </w:rPr>
        <w:t>/</w:t>
      </w:r>
      <w:proofErr w:type="spellStart"/>
      <w:r w:rsidRPr="00901D8A">
        <w:rPr>
          <w:rFonts w:cs="Arial"/>
          <w:sz w:val="20"/>
          <w:szCs w:val="20"/>
        </w:rPr>
        <w:t>lb</w:t>
      </w:r>
      <w:proofErr w:type="spellEnd"/>
      <w:r w:rsidRPr="00901D8A">
        <w:rPr>
          <w:rFonts w:cs="Arial"/>
          <w:sz w:val="20"/>
          <w:szCs w:val="20"/>
        </w:rPr>
        <w:t>-capacity approximates to an average washer use rate of 12 cycles/day.</w:t>
      </w:r>
    </w:p>
    <w:p w14:paraId="6FBA56A0" w14:textId="77777777" w:rsidR="00B629E1" w:rsidRPr="00901D8A" w:rsidRDefault="00B629E1" w:rsidP="00B629E1">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_Ref240703840 \h  \* MERGEFORMAT </w:instrText>
      </w:r>
      <w:r w:rsidRPr="00901D8A">
        <w:rPr>
          <w:rFonts w:cs="Arial"/>
          <w:sz w:val="20"/>
          <w:szCs w:val="20"/>
        </w:rPr>
      </w:r>
      <w:r w:rsidRPr="00901D8A">
        <w:rPr>
          <w:rFonts w:cs="Arial"/>
          <w:sz w:val="20"/>
          <w:szCs w:val="20"/>
        </w:rPr>
        <w:fldChar w:fldCharType="separate"/>
      </w:r>
      <w:r w:rsidRPr="00A04EB0">
        <w:rPr>
          <w:rFonts w:cs="Arial"/>
          <w:sz w:val="20"/>
          <w:szCs w:val="20"/>
        </w:rPr>
        <w:t xml:space="preserve">Table </w:t>
      </w:r>
      <w:r w:rsidRPr="00A04EB0">
        <w:rPr>
          <w:rFonts w:cs="Arial"/>
          <w:noProof/>
          <w:sz w:val="20"/>
          <w:szCs w:val="20"/>
        </w:rPr>
        <w:t>6</w:t>
      </w:r>
      <w:r w:rsidRPr="00901D8A">
        <w:rPr>
          <w:rFonts w:cs="Arial"/>
          <w:sz w:val="20"/>
          <w:szCs w:val="20"/>
        </w:rPr>
        <w:fldChar w:fldCharType="end"/>
      </w:r>
      <w:r w:rsidRPr="00901D8A">
        <w:rPr>
          <w:rFonts w:cs="Arial"/>
          <w:sz w:val="20"/>
          <w:szCs w:val="20"/>
        </w:rPr>
        <w:t xml:space="preserve"> represent projects that did not have washer utilization data. This is due to differing calculation methods.</w:t>
      </w:r>
    </w:p>
    <w:p w14:paraId="5A9A181B" w14:textId="77777777" w:rsidR="00B629E1" w:rsidRPr="00901D8A" w:rsidRDefault="00B629E1" w:rsidP="00B629E1">
      <w:pPr>
        <w:pStyle w:val="Heading3"/>
        <w:rPr>
          <w:i/>
          <w:iCs/>
          <w:sz w:val="20"/>
          <w:szCs w:val="20"/>
        </w:rPr>
      </w:pPr>
      <w:bookmarkStart w:id="108" w:name="_Toc491175841"/>
      <w:r w:rsidRPr="00901D8A">
        <w:rPr>
          <w:i/>
          <w:iCs/>
          <w:sz w:val="20"/>
          <w:szCs w:val="20"/>
        </w:rPr>
        <w:t xml:space="preserve">Determining Hot Water Usage Factor (gallons of hot water / </w:t>
      </w:r>
      <w:proofErr w:type="spellStart"/>
      <w:r w:rsidRPr="00901D8A">
        <w:rPr>
          <w:i/>
          <w:iCs/>
          <w:sz w:val="20"/>
          <w:szCs w:val="20"/>
        </w:rPr>
        <w:t>lb</w:t>
      </w:r>
      <w:proofErr w:type="spellEnd"/>
      <w:r w:rsidRPr="00901D8A">
        <w:rPr>
          <w:i/>
          <w:iCs/>
          <w:sz w:val="20"/>
          <w:szCs w:val="20"/>
        </w:rPr>
        <w:t xml:space="preserve"> of clothes)</w:t>
      </w:r>
      <w:bookmarkEnd w:id="108"/>
    </w:p>
    <w:p w14:paraId="649BB7DF" w14:textId="77777777" w:rsidR="00B629E1" w:rsidRPr="00901D8A" w:rsidRDefault="00B629E1" w:rsidP="00B629E1">
      <w:pPr>
        <w:rPr>
          <w:rFonts w:cs="Arial"/>
          <w:sz w:val="20"/>
          <w:szCs w:val="20"/>
        </w:rPr>
      </w:pPr>
      <w:r w:rsidRPr="00901D8A">
        <w:rPr>
          <w:rFonts w:cs="Arial"/>
          <w:sz w:val="20"/>
          <w:szCs w:val="20"/>
        </w:rPr>
        <w:t>In order to estimate savings, a typical hot water use per unit of laundry is needed. This factor represents how efficiently a typical conventional washing machine utilized hot water normalized per unit of clothes washed.</w:t>
      </w:r>
    </w:p>
    <w:p w14:paraId="44E9CDB6" w14:textId="77777777" w:rsidR="00B629E1" w:rsidRPr="00901D8A" w:rsidRDefault="00B629E1" w:rsidP="00B629E1">
      <w:pPr>
        <w:rPr>
          <w:rFonts w:cs="Arial"/>
          <w:sz w:val="20"/>
          <w:szCs w:val="20"/>
        </w:rPr>
      </w:pPr>
    </w:p>
    <w:p w14:paraId="5885A7F1" w14:textId="77777777" w:rsidR="00B629E1" w:rsidRPr="00901D8A" w:rsidRDefault="00B629E1" w:rsidP="00B629E1">
      <w:pPr>
        <w:rPr>
          <w:rFonts w:cs="Arial"/>
          <w:sz w:val="20"/>
          <w:szCs w:val="20"/>
        </w:rPr>
      </w:pPr>
      <w:r w:rsidRPr="00901D8A">
        <w:rPr>
          <w:rFonts w:cs="Arial"/>
          <w:sz w:val="20"/>
          <w:szCs w:val="20"/>
        </w:rPr>
        <w:t xml:space="preserve">Average hot water usage factors </w:t>
      </w:r>
      <w:r w:rsidRPr="00EF7008">
        <w:rPr>
          <w:rFonts w:cs="Arial"/>
          <w:sz w:val="20"/>
          <w:szCs w:val="20"/>
        </w:rPr>
        <w:t>were</w:t>
      </w:r>
      <w:r w:rsidRPr="00901D8A">
        <w:rPr>
          <w:rFonts w:cs="Arial"/>
          <w:sz w:val="20"/>
          <w:szCs w:val="20"/>
        </w:rPr>
        <w:t xml:space="preserve"> generated using data collected from existing ozone laundry projects that received incentives under the NRR-DR program. </w:t>
      </w:r>
      <w:r w:rsidRPr="00901D8A">
        <w:rPr>
          <w:rFonts w:cs="Arial"/>
          <w:sz w:val="20"/>
          <w:szCs w:val="20"/>
        </w:rPr>
        <w:fldChar w:fldCharType="begin"/>
      </w:r>
      <w:r w:rsidRPr="00901D8A">
        <w:rPr>
          <w:rFonts w:cs="Arial"/>
          <w:sz w:val="20"/>
          <w:szCs w:val="20"/>
        </w:rPr>
        <w:instrText xml:space="preserve"> REF _Ref240703870 \h  \* MERGEFORMAT </w:instrText>
      </w:r>
      <w:r w:rsidRPr="00901D8A">
        <w:rPr>
          <w:rFonts w:cs="Arial"/>
          <w:sz w:val="20"/>
          <w:szCs w:val="20"/>
        </w:rPr>
      </w:r>
      <w:r w:rsidRPr="00901D8A">
        <w:rPr>
          <w:rFonts w:cs="Arial"/>
          <w:sz w:val="20"/>
          <w:szCs w:val="20"/>
        </w:rPr>
        <w:fldChar w:fldCharType="separate"/>
      </w:r>
      <w:r w:rsidRPr="00EA603F">
        <w:rPr>
          <w:rFonts w:cs="Arial"/>
          <w:sz w:val="20"/>
          <w:szCs w:val="20"/>
        </w:rPr>
        <w:t xml:space="preserve">Table </w:t>
      </w:r>
      <w:r w:rsidRPr="00EA603F">
        <w:rPr>
          <w:rFonts w:cs="Arial"/>
          <w:noProof/>
          <w:sz w:val="20"/>
          <w:szCs w:val="20"/>
        </w:rPr>
        <w:t>7</w:t>
      </w:r>
      <w:r w:rsidRPr="00901D8A">
        <w:rPr>
          <w:rFonts w:cs="Arial"/>
          <w:sz w:val="20"/>
          <w:szCs w:val="20"/>
        </w:rPr>
        <w:fldChar w:fldCharType="end"/>
      </w:r>
      <w:r w:rsidRPr="00901D8A">
        <w:rPr>
          <w:rFonts w:cs="Arial"/>
          <w:sz w:val="20"/>
          <w:szCs w:val="20"/>
        </w:rPr>
        <w:t xml:space="preserve"> summarizes data gathered from several NRR-DR projects:</w:t>
      </w:r>
    </w:p>
    <w:p w14:paraId="1A88A6D0" w14:textId="77777777" w:rsidR="00B629E1" w:rsidRPr="00901D8A" w:rsidRDefault="00B629E1" w:rsidP="00B629E1">
      <w:pPr>
        <w:rPr>
          <w:rFonts w:cs="Arial"/>
          <w:sz w:val="20"/>
          <w:szCs w:val="20"/>
        </w:rPr>
      </w:pPr>
    </w:p>
    <w:p w14:paraId="07744060" w14:textId="77777777" w:rsidR="00B629E1" w:rsidRPr="00901D8A" w:rsidRDefault="00B629E1" w:rsidP="00B629E1">
      <w:pPr>
        <w:pStyle w:val="Caption"/>
        <w:jc w:val="center"/>
        <w:rPr>
          <w:rFonts w:cs="Arial"/>
        </w:rPr>
      </w:pPr>
      <w:r w:rsidRPr="00901D8A">
        <w:rPr>
          <w:rFonts w:cs="Arial"/>
        </w:rPr>
        <w:br w:type="page"/>
      </w:r>
      <w:bookmarkStart w:id="109" w:name="_Toc491176175"/>
      <w:r w:rsidRPr="00901D8A">
        <w:rPr>
          <w:rFonts w:cs="Arial"/>
        </w:rPr>
        <w:lastRenderedPageBreak/>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Pr>
          <w:rFonts w:cs="Arial"/>
          <w:noProof/>
        </w:rPr>
        <w:t>7</w:t>
      </w:r>
      <w:r w:rsidRPr="00901D8A">
        <w:rPr>
          <w:rFonts w:cs="Arial"/>
        </w:rPr>
        <w:fldChar w:fldCharType="end"/>
      </w:r>
      <w:r w:rsidRPr="00901D8A">
        <w:rPr>
          <w:rFonts w:cs="Arial"/>
        </w:rPr>
        <w:t xml:space="preserve"> Hot Water Use Factor</w:t>
      </w:r>
      <w:bookmarkEnd w:id="109"/>
    </w:p>
    <w:p w14:paraId="11D648F1" w14:textId="77777777" w:rsidR="00B629E1" w:rsidRPr="00901D8A" w:rsidRDefault="00B629E1" w:rsidP="00B629E1">
      <w:pPr>
        <w:pStyle w:val="Caption"/>
        <w:jc w:val="center"/>
        <w:rPr>
          <w:rFonts w:cs="Arial"/>
        </w:rPr>
      </w:pPr>
      <w:r w:rsidRPr="00901D8A">
        <w:rPr>
          <w:rFonts w:cs="Arial"/>
          <w:noProof/>
        </w:rPr>
        <w:drawing>
          <wp:inline distT="0" distB="0" distL="0" distR="0" wp14:anchorId="32D3FBF3" wp14:editId="097578AA">
            <wp:extent cx="3209925" cy="29051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209925" cy="2905125"/>
                    </a:xfrm>
                    <a:prstGeom prst="rect">
                      <a:avLst/>
                    </a:prstGeom>
                    <a:noFill/>
                    <a:ln>
                      <a:noFill/>
                    </a:ln>
                  </pic:spPr>
                </pic:pic>
              </a:graphicData>
            </a:graphic>
          </wp:inline>
        </w:drawing>
      </w:r>
    </w:p>
    <w:p w14:paraId="64B90384" w14:textId="77777777" w:rsidR="00B629E1" w:rsidRPr="00901D8A" w:rsidRDefault="00B629E1" w:rsidP="00B629E1">
      <w:pPr>
        <w:rPr>
          <w:rFonts w:cs="Arial"/>
          <w:sz w:val="20"/>
          <w:szCs w:val="20"/>
        </w:rPr>
      </w:pPr>
      <w:r w:rsidRPr="00901D8A">
        <w:rPr>
          <w:rFonts w:cs="Arial"/>
          <w:sz w:val="20"/>
          <w:szCs w:val="20"/>
        </w:rPr>
        <w:t>Note:</w:t>
      </w:r>
    </w:p>
    <w:p w14:paraId="28C8C11C" w14:textId="77777777" w:rsidR="00B629E1" w:rsidRPr="00901D8A" w:rsidRDefault="00B629E1" w:rsidP="00B629E1">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_Ref240703870 \h  \* MERGEFORMAT </w:instrText>
      </w:r>
      <w:r w:rsidRPr="00901D8A">
        <w:rPr>
          <w:rFonts w:cs="Arial"/>
          <w:sz w:val="20"/>
          <w:szCs w:val="20"/>
        </w:rPr>
      </w:r>
      <w:r w:rsidRPr="00901D8A">
        <w:rPr>
          <w:rFonts w:cs="Arial"/>
          <w:sz w:val="20"/>
          <w:szCs w:val="20"/>
        </w:rPr>
        <w:fldChar w:fldCharType="separate"/>
      </w:r>
      <w:r w:rsidRPr="00A04EB0">
        <w:rPr>
          <w:rFonts w:cs="Arial"/>
          <w:sz w:val="20"/>
          <w:szCs w:val="20"/>
        </w:rPr>
        <w:t xml:space="preserve">Table </w:t>
      </w:r>
      <w:r w:rsidRPr="00A04EB0">
        <w:rPr>
          <w:rFonts w:cs="Arial"/>
          <w:noProof/>
          <w:sz w:val="20"/>
          <w:szCs w:val="20"/>
        </w:rPr>
        <w:t>7</w:t>
      </w:r>
      <w:r w:rsidRPr="00901D8A">
        <w:rPr>
          <w:rFonts w:cs="Arial"/>
          <w:sz w:val="20"/>
          <w:szCs w:val="20"/>
        </w:rPr>
        <w:fldChar w:fldCharType="end"/>
      </w:r>
      <w:r w:rsidRPr="00901D8A">
        <w:rPr>
          <w:rFonts w:cs="Arial"/>
          <w:sz w:val="20"/>
          <w:szCs w:val="20"/>
        </w:rPr>
        <w:t xml:space="preserve"> represent projects that did not have hot water data available. This is due to differing calculation methods.</w:t>
      </w:r>
    </w:p>
    <w:p w14:paraId="38A52710" w14:textId="77777777" w:rsidR="00B629E1" w:rsidRPr="00901D8A" w:rsidRDefault="00B629E1" w:rsidP="00B629E1">
      <w:pPr>
        <w:pStyle w:val="Heading3"/>
        <w:rPr>
          <w:i/>
          <w:iCs/>
          <w:sz w:val="20"/>
          <w:szCs w:val="20"/>
        </w:rPr>
      </w:pPr>
      <w:bookmarkStart w:id="110" w:name="_Toc491175842"/>
      <w:r w:rsidRPr="00901D8A">
        <w:rPr>
          <w:i/>
          <w:iCs/>
          <w:sz w:val="20"/>
          <w:szCs w:val="20"/>
        </w:rPr>
        <w:t>Determining Hot Water Reduction Factor (% reduction in hot water)</w:t>
      </w:r>
      <w:bookmarkEnd w:id="110"/>
    </w:p>
    <w:p w14:paraId="32D86D20" w14:textId="77777777" w:rsidR="00B629E1" w:rsidRPr="00901D8A" w:rsidRDefault="00B629E1" w:rsidP="00B629E1">
      <w:pPr>
        <w:rPr>
          <w:rFonts w:cs="Arial"/>
          <w:sz w:val="20"/>
          <w:szCs w:val="20"/>
        </w:rPr>
      </w:pPr>
      <w:r w:rsidRPr="00901D8A">
        <w:rPr>
          <w:rFonts w:cs="Arial"/>
          <w:sz w:val="20"/>
          <w:szCs w:val="20"/>
        </w:rPr>
        <w:t>In order to calculate the savings resulting from installation of an ozone generator, an average hot water reduction factor is needed. This factor represents how much more efficient an ozone injection washing machine is compared to a typical conventional washing machine as a rate of hot water reduction.</w:t>
      </w:r>
    </w:p>
    <w:p w14:paraId="33DF3613" w14:textId="77777777" w:rsidR="00B629E1" w:rsidRPr="00901D8A" w:rsidRDefault="00B629E1" w:rsidP="00B629E1">
      <w:pPr>
        <w:rPr>
          <w:rFonts w:cs="Arial"/>
          <w:sz w:val="20"/>
          <w:szCs w:val="20"/>
        </w:rPr>
      </w:pPr>
    </w:p>
    <w:p w14:paraId="152A3B64" w14:textId="77777777" w:rsidR="00B629E1" w:rsidRPr="00901D8A" w:rsidRDefault="00B629E1" w:rsidP="00B629E1">
      <w:pPr>
        <w:rPr>
          <w:rFonts w:cs="Arial"/>
          <w:sz w:val="20"/>
          <w:szCs w:val="20"/>
        </w:rPr>
      </w:pPr>
      <w:r w:rsidRPr="00901D8A">
        <w:rPr>
          <w:rFonts w:cs="Arial"/>
          <w:sz w:val="20"/>
          <w:szCs w:val="20"/>
        </w:rPr>
        <w:t xml:space="preserve">Average hot water reduction factors were generated using data collected from existing ozone laundry projects that received incentives under the Non-Residential Retrofit Demand Reduction program (NRR-DR). </w:t>
      </w:r>
      <w:r w:rsidRPr="00901D8A">
        <w:rPr>
          <w:rFonts w:cs="Arial"/>
          <w:sz w:val="20"/>
          <w:szCs w:val="20"/>
        </w:rPr>
        <w:fldChar w:fldCharType="begin"/>
      </w:r>
      <w:r w:rsidRPr="00901D8A">
        <w:rPr>
          <w:rFonts w:cs="Arial"/>
          <w:sz w:val="20"/>
          <w:szCs w:val="20"/>
        </w:rPr>
        <w:instrText xml:space="preserve"> REF _Ref240703891 \h  \* MERGEFORMAT </w:instrText>
      </w:r>
      <w:r w:rsidRPr="00901D8A">
        <w:rPr>
          <w:rFonts w:cs="Arial"/>
          <w:sz w:val="20"/>
          <w:szCs w:val="20"/>
        </w:rPr>
      </w:r>
      <w:r w:rsidRPr="00901D8A">
        <w:rPr>
          <w:rFonts w:cs="Arial"/>
          <w:sz w:val="20"/>
          <w:szCs w:val="20"/>
        </w:rPr>
        <w:fldChar w:fldCharType="separate"/>
      </w:r>
      <w:r w:rsidRPr="00A04EB0">
        <w:rPr>
          <w:rFonts w:cs="Arial"/>
          <w:sz w:val="20"/>
          <w:szCs w:val="20"/>
        </w:rPr>
        <w:t xml:space="preserve">Table </w:t>
      </w:r>
      <w:r w:rsidRPr="00A04EB0">
        <w:rPr>
          <w:rFonts w:cs="Arial"/>
          <w:noProof/>
          <w:sz w:val="20"/>
          <w:szCs w:val="20"/>
        </w:rPr>
        <w:t>8</w:t>
      </w:r>
      <w:r w:rsidRPr="00901D8A">
        <w:rPr>
          <w:rFonts w:cs="Arial"/>
          <w:sz w:val="20"/>
          <w:szCs w:val="20"/>
        </w:rPr>
        <w:fldChar w:fldCharType="end"/>
      </w:r>
      <w:r w:rsidRPr="00901D8A">
        <w:rPr>
          <w:rFonts w:cs="Arial"/>
          <w:sz w:val="20"/>
          <w:szCs w:val="20"/>
        </w:rPr>
        <w:t xml:space="preserve"> summarizes data gathered from several NRR-DR projects:</w:t>
      </w:r>
    </w:p>
    <w:p w14:paraId="10351F8E" w14:textId="77777777" w:rsidR="00B629E1" w:rsidRPr="00901D8A" w:rsidRDefault="00B629E1" w:rsidP="00B629E1">
      <w:pPr>
        <w:rPr>
          <w:rFonts w:cs="Arial"/>
          <w:sz w:val="20"/>
          <w:szCs w:val="20"/>
        </w:rPr>
      </w:pPr>
    </w:p>
    <w:p w14:paraId="61085536" w14:textId="77777777" w:rsidR="00B629E1" w:rsidRPr="00901D8A" w:rsidRDefault="00B629E1" w:rsidP="00B629E1">
      <w:pPr>
        <w:pStyle w:val="Caption"/>
        <w:jc w:val="center"/>
        <w:rPr>
          <w:rFonts w:cs="Arial"/>
        </w:rPr>
      </w:pPr>
      <w:bookmarkStart w:id="111" w:name="_Toc491176176"/>
      <w:r w:rsidRPr="00901D8A">
        <w:rPr>
          <w:rFonts w:cs="Arial"/>
        </w:rPr>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Pr>
          <w:rFonts w:cs="Arial"/>
          <w:noProof/>
        </w:rPr>
        <w:t>8</w:t>
      </w:r>
      <w:r w:rsidRPr="00901D8A">
        <w:rPr>
          <w:rFonts w:cs="Arial"/>
        </w:rPr>
        <w:fldChar w:fldCharType="end"/>
      </w:r>
      <w:r w:rsidRPr="00901D8A">
        <w:rPr>
          <w:rFonts w:cs="Arial"/>
        </w:rPr>
        <w:t xml:space="preserve"> Hot Water Reduction Factor</w:t>
      </w:r>
      <w:bookmarkEnd w:id="111"/>
    </w:p>
    <w:p w14:paraId="17B9F587" w14:textId="77777777" w:rsidR="00B629E1" w:rsidRPr="00901D8A" w:rsidRDefault="00B629E1" w:rsidP="00B629E1">
      <w:pPr>
        <w:pStyle w:val="Caption"/>
        <w:jc w:val="center"/>
        <w:rPr>
          <w:rFonts w:cs="Arial"/>
        </w:rPr>
      </w:pPr>
      <w:r w:rsidRPr="00901D8A">
        <w:rPr>
          <w:rFonts w:cs="Arial"/>
          <w:noProof/>
        </w:rPr>
        <w:drawing>
          <wp:inline distT="0" distB="0" distL="0" distR="0" wp14:anchorId="7AA2CDFF" wp14:editId="52C5B156">
            <wp:extent cx="3848100" cy="27622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848100" cy="2762250"/>
                    </a:xfrm>
                    <a:prstGeom prst="rect">
                      <a:avLst/>
                    </a:prstGeom>
                    <a:noFill/>
                    <a:ln>
                      <a:noFill/>
                    </a:ln>
                  </pic:spPr>
                </pic:pic>
              </a:graphicData>
            </a:graphic>
          </wp:inline>
        </w:drawing>
      </w:r>
    </w:p>
    <w:p w14:paraId="540CE7A6" w14:textId="77777777" w:rsidR="00B629E1" w:rsidRDefault="00B629E1" w:rsidP="00B629E1">
      <w:pPr>
        <w:rPr>
          <w:rFonts w:cs="Arial"/>
          <w:sz w:val="20"/>
          <w:szCs w:val="20"/>
        </w:rPr>
      </w:pPr>
    </w:p>
    <w:p w14:paraId="0E1FC092" w14:textId="77777777" w:rsidR="00B629E1" w:rsidRDefault="00B629E1" w:rsidP="00B629E1">
      <w:pPr>
        <w:rPr>
          <w:rFonts w:cs="Arial"/>
          <w:sz w:val="20"/>
          <w:szCs w:val="20"/>
        </w:rPr>
      </w:pPr>
    </w:p>
    <w:p w14:paraId="732B5EC7" w14:textId="77777777" w:rsidR="00B629E1" w:rsidRPr="00901D8A" w:rsidRDefault="00B629E1" w:rsidP="00B629E1">
      <w:pPr>
        <w:rPr>
          <w:rFonts w:cs="Arial"/>
          <w:sz w:val="20"/>
          <w:szCs w:val="20"/>
        </w:rPr>
      </w:pPr>
      <w:r w:rsidRPr="00901D8A">
        <w:rPr>
          <w:rFonts w:cs="Arial"/>
          <w:sz w:val="20"/>
          <w:szCs w:val="20"/>
        </w:rPr>
        <w:lastRenderedPageBreak/>
        <w:t>Note:</w:t>
      </w:r>
    </w:p>
    <w:p w14:paraId="61DFEBE8" w14:textId="77777777" w:rsidR="00B629E1" w:rsidRPr="00901D8A" w:rsidRDefault="00B629E1" w:rsidP="00B629E1">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_Ref240703891 \h  \* MERGEFORMAT </w:instrText>
      </w:r>
      <w:r w:rsidRPr="00901D8A">
        <w:rPr>
          <w:rFonts w:cs="Arial"/>
          <w:sz w:val="20"/>
          <w:szCs w:val="20"/>
        </w:rPr>
      </w:r>
      <w:r w:rsidRPr="00901D8A">
        <w:rPr>
          <w:rFonts w:cs="Arial"/>
          <w:sz w:val="20"/>
          <w:szCs w:val="20"/>
        </w:rPr>
        <w:fldChar w:fldCharType="separate"/>
      </w:r>
      <w:r w:rsidRPr="00A04EB0">
        <w:rPr>
          <w:rFonts w:cs="Arial"/>
          <w:sz w:val="20"/>
          <w:szCs w:val="20"/>
        </w:rPr>
        <w:t xml:space="preserve">Table </w:t>
      </w:r>
      <w:r w:rsidRPr="00A04EB0">
        <w:rPr>
          <w:rFonts w:cs="Arial"/>
          <w:noProof/>
          <w:sz w:val="20"/>
          <w:szCs w:val="20"/>
        </w:rPr>
        <w:t>8</w:t>
      </w:r>
      <w:r w:rsidRPr="00901D8A">
        <w:rPr>
          <w:rFonts w:cs="Arial"/>
          <w:sz w:val="20"/>
          <w:szCs w:val="20"/>
        </w:rPr>
        <w:fldChar w:fldCharType="end"/>
      </w:r>
      <w:r w:rsidRPr="00901D8A">
        <w:rPr>
          <w:rFonts w:cs="Arial"/>
          <w:sz w:val="20"/>
          <w:szCs w:val="20"/>
        </w:rPr>
        <w:t xml:space="preserve"> represent projects that did not have total water data available. This is due to differing calculation methods.</w:t>
      </w:r>
    </w:p>
    <w:p w14:paraId="666A079C" w14:textId="77777777" w:rsidR="00B629E1" w:rsidRPr="00901D8A" w:rsidRDefault="00B629E1" w:rsidP="00B629E1">
      <w:pPr>
        <w:jc w:val="center"/>
        <w:rPr>
          <w:rFonts w:cs="Arial"/>
          <w:sz w:val="20"/>
          <w:szCs w:val="20"/>
        </w:rPr>
      </w:pPr>
    </w:p>
    <w:p w14:paraId="0CB2CDD5" w14:textId="77777777" w:rsidR="00B629E1" w:rsidRPr="00901D8A" w:rsidRDefault="00B629E1" w:rsidP="00B629E1">
      <w:pPr>
        <w:rPr>
          <w:rFonts w:cs="Arial"/>
          <w:b/>
          <w:i/>
          <w:sz w:val="20"/>
          <w:szCs w:val="20"/>
        </w:rPr>
      </w:pPr>
      <w:r w:rsidRPr="00901D8A">
        <w:rPr>
          <w:rFonts w:cs="Arial"/>
          <w:b/>
          <w:i/>
          <w:sz w:val="20"/>
          <w:szCs w:val="20"/>
        </w:rPr>
        <w:t>Annual Gas Savings:</w:t>
      </w:r>
    </w:p>
    <w:p w14:paraId="428F15E8" w14:textId="77777777" w:rsidR="00B629E1" w:rsidRPr="00901D8A" w:rsidRDefault="00B629E1" w:rsidP="00B629E1">
      <w:pPr>
        <w:rPr>
          <w:rFonts w:cs="Arial"/>
          <w:sz w:val="20"/>
          <w:szCs w:val="20"/>
        </w:rPr>
      </w:pPr>
      <w:r w:rsidRPr="00901D8A">
        <w:rPr>
          <w:rFonts w:cs="Arial"/>
          <w:sz w:val="20"/>
          <w:szCs w:val="20"/>
        </w:rPr>
        <w:t>Finally, the average annual gas savings for the measure is calculated below:</w:t>
      </w:r>
    </w:p>
    <w:p w14:paraId="06484199" w14:textId="77777777" w:rsidR="00B629E1" w:rsidRPr="00901D8A" w:rsidRDefault="00B629E1" w:rsidP="00B629E1">
      <w:pPr>
        <w:rPr>
          <w:rFonts w:cs="Arial"/>
          <w:sz w:val="20"/>
          <w:szCs w:val="20"/>
        </w:rPr>
      </w:pPr>
    </w:p>
    <w:p w14:paraId="1D0935AB" w14:textId="77777777" w:rsidR="00B629E1" w:rsidRPr="00901D8A" w:rsidRDefault="00B629E1" w:rsidP="00B629E1">
      <w:pPr>
        <w:rPr>
          <w:rFonts w:cs="Arial"/>
          <w:sz w:val="20"/>
          <w:szCs w:val="20"/>
        </w:rPr>
      </w:pPr>
      <w:r w:rsidRPr="00901D8A">
        <w:rPr>
          <w:rFonts w:cs="Arial"/>
          <w:sz w:val="20"/>
          <w:szCs w:val="20"/>
        </w:rPr>
        <w:t>Annual Gas Savings [</w:t>
      </w:r>
      <w:proofErr w:type="spellStart"/>
      <w:r w:rsidRPr="00901D8A">
        <w:rPr>
          <w:rFonts w:cs="Arial"/>
          <w:sz w:val="20"/>
          <w:szCs w:val="20"/>
        </w:rPr>
        <w:t>therms</w:t>
      </w:r>
      <w:proofErr w:type="spellEnd"/>
      <w:r w:rsidRPr="00901D8A">
        <w:rPr>
          <w:rFonts w:cs="Arial"/>
          <w:sz w:val="20"/>
          <w:szCs w:val="20"/>
        </w:rPr>
        <w:t>/Unit] = Annual Base Gas Usage – Annual Measure Gas Usage</w:t>
      </w:r>
    </w:p>
    <w:p w14:paraId="055CA59C" w14:textId="77777777" w:rsidR="00B629E1" w:rsidRPr="00901D8A" w:rsidRDefault="00B629E1" w:rsidP="00B629E1">
      <w:pPr>
        <w:rPr>
          <w:rFonts w:cs="Arial"/>
          <w:sz w:val="20"/>
          <w:szCs w:val="20"/>
        </w:rPr>
      </w:pPr>
    </w:p>
    <w:p w14:paraId="4E4A05E5"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05311A45" wp14:editId="47C97D5E">
            <wp:extent cx="5248275" cy="9048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r w:rsidRPr="00901D8A">
        <w:rPr>
          <w:rFonts w:cs="Arial"/>
          <w:sz w:val="20"/>
          <w:szCs w:val="20"/>
        </w:rPr>
        <w:br/>
      </w:r>
      <w:r w:rsidRPr="00901D8A">
        <w:rPr>
          <w:rFonts w:cs="Arial"/>
          <w:noProof/>
          <w:sz w:val="20"/>
          <w:szCs w:val="20"/>
        </w:rPr>
        <w:drawing>
          <wp:inline distT="0" distB="0" distL="0" distR="0" wp14:anchorId="17DB50C0" wp14:editId="53B581CF">
            <wp:extent cx="5248275" cy="3905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248275" cy="390525"/>
                    </a:xfrm>
                    <a:prstGeom prst="rect">
                      <a:avLst/>
                    </a:prstGeom>
                    <a:noFill/>
                    <a:ln>
                      <a:noFill/>
                    </a:ln>
                  </pic:spPr>
                </pic:pic>
              </a:graphicData>
            </a:graphic>
          </wp:inline>
        </w:drawing>
      </w:r>
    </w:p>
    <w:p w14:paraId="08D11330" w14:textId="77777777" w:rsidR="00B629E1" w:rsidRPr="00901D8A" w:rsidRDefault="00B629E1" w:rsidP="00B629E1">
      <w:pPr>
        <w:rPr>
          <w:rFonts w:cs="Arial"/>
          <w:sz w:val="20"/>
          <w:szCs w:val="20"/>
        </w:rPr>
      </w:pPr>
    </w:p>
    <w:p w14:paraId="57D9C89E" w14:textId="77777777" w:rsidR="00B629E1" w:rsidRPr="00901D8A" w:rsidRDefault="00B629E1" w:rsidP="00B629E1">
      <w:pPr>
        <w:rPr>
          <w:rFonts w:cs="Arial"/>
          <w:sz w:val="20"/>
          <w:szCs w:val="20"/>
        </w:rPr>
      </w:pPr>
    </w:p>
    <w:p w14:paraId="58F2275E"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7541B48B" wp14:editId="74B82A3C">
            <wp:extent cx="5248275"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p>
    <w:p w14:paraId="5CDD3669"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583935CF" wp14:editId="25D22356">
            <wp:extent cx="5257800" cy="4381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extLst>
                        <a:ext uri="{28A0092B-C50C-407E-A947-70E740481C1C}">
                          <a14:useLocalDpi xmlns:a14="http://schemas.microsoft.com/office/drawing/2010/main" val="0"/>
                        </a:ext>
                      </a:extLst>
                    </a:blip>
                    <a:srcRect t="29352" r="-96"/>
                    <a:stretch>
                      <a:fillRect/>
                    </a:stretch>
                  </pic:blipFill>
                  <pic:spPr bwMode="auto">
                    <a:xfrm>
                      <a:off x="0" y="0"/>
                      <a:ext cx="5257800" cy="438150"/>
                    </a:xfrm>
                    <a:prstGeom prst="rect">
                      <a:avLst/>
                    </a:prstGeom>
                    <a:noFill/>
                    <a:ln>
                      <a:noFill/>
                    </a:ln>
                  </pic:spPr>
                </pic:pic>
              </a:graphicData>
            </a:graphic>
          </wp:inline>
        </w:drawing>
      </w:r>
    </w:p>
    <w:p w14:paraId="2D7D3E40" w14:textId="77777777" w:rsidR="00B629E1" w:rsidRPr="00901D8A" w:rsidRDefault="00B629E1" w:rsidP="00B629E1">
      <w:pPr>
        <w:rPr>
          <w:rFonts w:cs="Arial"/>
          <w:sz w:val="20"/>
          <w:szCs w:val="20"/>
        </w:rPr>
      </w:pPr>
    </w:p>
    <w:p w14:paraId="38C9EA80" w14:textId="77777777" w:rsidR="00B629E1" w:rsidRPr="00901D8A" w:rsidRDefault="00B629E1" w:rsidP="00B629E1">
      <w:pPr>
        <w:rPr>
          <w:rFonts w:cs="Arial"/>
          <w:sz w:val="20"/>
          <w:szCs w:val="20"/>
        </w:rPr>
      </w:pPr>
    </w:p>
    <w:p w14:paraId="353614C1" w14:textId="77777777" w:rsidR="00B629E1" w:rsidRPr="00901D8A" w:rsidRDefault="00B629E1" w:rsidP="00B629E1">
      <w:pPr>
        <w:rPr>
          <w:rFonts w:cs="Arial"/>
          <w:sz w:val="20"/>
          <w:szCs w:val="20"/>
        </w:rPr>
      </w:pPr>
      <w:r w:rsidRPr="00901D8A">
        <w:rPr>
          <w:rFonts w:cs="Arial"/>
          <w:noProof/>
          <w:sz w:val="20"/>
          <w:szCs w:val="20"/>
        </w:rPr>
        <w:drawing>
          <wp:inline distT="0" distB="0" distL="0" distR="0" wp14:anchorId="09A26B9E" wp14:editId="370749EA">
            <wp:extent cx="5248275" cy="13525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248275" cy="1352550"/>
                    </a:xfrm>
                    <a:prstGeom prst="rect">
                      <a:avLst/>
                    </a:prstGeom>
                    <a:noFill/>
                    <a:ln>
                      <a:noFill/>
                    </a:ln>
                  </pic:spPr>
                </pic:pic>
              </a:graphicData>
            </a:graphic>
          </wp:inline>
        </w:drawing>
      </w:r>
    </w:p>
    <w:p w14:paraId="76C70B4C" w14:textId="77777777" w:rsidR="00B629E1" w:rsidRPr="00901D8A" w:rsidRDefault="00B629E1" w:rsidP="00B629E1">
      <w:pPr>
        <w:rPr>
          <w:rFonts w:cs="Arial"/>
          <w:sz w:val="20"/>
          <w:szCs w:val="20"/>
        </w:rPr>
      </w:pPr>
    </w:p>
    <w:p w14:paraId="4D0964FC" w14:textId="77777777" w:rsidR="00B629E1" w:rsidRDefault="00B629E1" w:rsidP="00B629E1">
      <w:pPr>
        <w:rPr>
          <w:rFonts w:cs="Arial"/>
          <w:b/>
          <w:bCs/>
          <w:kern w:val="32"/>
          <w:sz w:val="32"/>
          <w:szCs w:val="32"/>
        </w:rPr>
      </w:pPr>
      <w:r>
        <w:br w:type="page"/>
      </w:r>
    </w:p>
    <w:p w14:paraId="7C73F37B" w14:textId="77777777" w:rsidR="00B629E1" w:rsidRPr="00417859" w:rsidRDefault="00B629E1" w:rsidP="00B629E1">
      <w:pPr>
        <w:pStyle w:val="Heading1"/>
        <w:rPr>
          <w:i/>
          <w:sz w:val="28"/>
        </w:rPr>
      </w:pPr>
      <w:bookmarkStart w:id="112" w:name="_Toc491175843"/>
      <w:r w:rsidRPr="00417859">
        <w:rPr>
          <w:i/>
          <w:sz w:val="28"/>
        </w:rPr>
        <w:lastRenderedPageBreak/>
        <w:t>2.4 Water Savings Estimation Methodologies</w:t>
      </w:r>
      <w:bookmarkEnd w:id="112"/>
    </w:p>
    <w:p w14:paraId="0750B105" w14:textId="77777777" w:rsidR="00B629E1" w:rsidRPr="0076257E" w:rsidRDefault="00B629E1" w:rsidP="00B629E1">
      <w:pPr>
        <w:rPr>
          <w:sz w:val="20"/>
          <w:szCs w:val="20"/>
        </w:rPr>
      </w:pPr>
      <w:r w:rsidRPr="0076257E">
        <w:rPr>
          <w:sz w:val="20"/>
          <w:szCs w:val="20"/>
        </w:rPr>
        <w:t>Water savings are presented here for information only and not as a basis of energy impacts. The savings calculations listed here account for the combination of hot and cold water used. Savings calculations for this measure were based on the reduction in total water use from implementing an ozone washing system to the base case. There are three main components in obtaining this value:</w:t>
      </w:r>
    </w:p>
    <w:p w14:paraId="3DA3BFB1" w14:textId="77777777" w:rsidR="00B629E1" w:rsidRPr="0076257E" w:rsidRDefault="00B629E1" w:rsidP="00B629E1">
      <w:pPr>
        <w:numPr>
          <w:ilvl w:val="0"/>
          <w:numId w:val="24"/>
        </w:numPr>
        <w:rPr>
          <w:sz w:val="20"/>
          <w:szCs w:val="20"/>
        </w:rPr>
      </w:pPr>
      <w:r w:rsidRPr="0076257E">
        <w:rPr>
          <w:sz w:val="20"/>
          <w:szCs w:val="20"/>
        </w:rPr>
        <w:t>Water Usage Factor (a measure of how water efficient a base case machine is)</w:t>
      </w:r>
    </w:p>
    <w:p w14:paraId="4DFDCFF4" w14:textId="77777777" w:rsidR="00B629E1" w:rsidRPr="0076257E" w:rsidRDefault="00B629E1" w:rsidP="00B629E1">
      <w:pPr>
        <w:numPr>
          <w:ilvl w:val="0"/>
          <w:numId w:val="24"/>
        </w:numPr>
        <w:rPr>
          <w:sz w:val="20"/>
          <w:szCs w:val="20"/>
        </w:rPr>
      </w:pPr>
      <w:r w:rsidRPr="0076257E">
        <w:rPr>
          <w:sz w:val="20"/>
          <w:szCs w:val="20"/>
        </w:rPr>
        <w:t>Water Reduction Factor (a measure of how well the ozone system reduced water from the base case)</w:t>
      </w:r>
    </w:p>
    <w:p w14:paraId="1D1F97A3" w14:textId="77777777" w:rsidR="00B629E1" w:rsidRPr="0076257E" w:rsidRDefault="00B629E1" w:rsidP="00B629E1">
      <w:pPr>
        <w:numPr>
          <w:ilvl w:val="0"/>
          <w:numId w:val="24"/>
        </w:numPr>
        <w:rPr>
          <w:sz w:val="20"/>
          <w:szCs w:val="20"/>
        </w:rPr>
      </w:pPr>
      <w:r w:rsidRPr="0076257E">
        <w:rPr>
          <w:sz w:val="20"/>
          <w:szCs w:val="20"/>
        </w:rPr>
        <w:t>Washer Utilization Factor (a measure of washer use rate)</w:t>
      </w:r>
    </w:p>
    <w:p w14:paraId="60091371" w14:textId="77777777" w:rsidR="00B629E1" w:rsidRPr="0076257E" w:rsidRDefault="00B629E1" w:rsidP="00B629E1">
      <w:pPr>
        <w:rPr>
          <w:sz w:val="20"/>
          <w:szCs w:val="20"/>
        </w:rPr>
      </w:pPr>
    </w:p>
    <w:p w14:paraId="573BBDFA" w14:textId="77777777" w:rsidR="00B629E1" w:rsidRDefault="00B629E1" w:rsidP="00B629E1">
      <w:pPr>
        <w:rPr>
          <w:sz w:val="20"/>
          <w:szCs w:val="20"/>
        </w:rPr>
      </w:pPr>
      <w:r w:rsidRPr="0076257E">
        <w:rPr>
          <w:sz w:val="20"/>
          <w:szCs w:val="20"/>
        </w:rPr>
        <w:t xml:space="preserve">Average water usage and water reduction factors were generated using data collected from existing ozone laundry projects that received incentives under the Non-Residential Retrofit Demand Reduction program (NRR-DR). </w:t>
      </w:r>
      <w:r w:rsidRPr="0076257E">
        <w:rPr>
          <w:sz w:val="20"/>
          <w:szCs w:val="20"/>
        </w:rPr>
        <w:fldChar w:fldCharType="begin"/>
      </w:r>
      <w:r w:rsidRPr="0076257E">
        <w:rPr>
          <w:sz w:val="20"/>
          <w:szCs w:val="20"/>
        </w:rPr>
        <w:instrText xml:space="preserve"> REF _Ref240703915 \h </w:instrText>
      </w:r>
      <w:r>
        <w:rPr>
          <w:sz w:val="20"/>
          <w:szCs w:val="20"/>
        </w:rPr>
        <w:instrText xml:space="preserve"> \* MERGEFORMAT </w:instrText>
      </w:r>
      <w:r w:rsidRPr="0076257E">
        <w:rPr>
          <w:sz w:val="20"/>
          <w:szCs w:val="20"/>
        </w:rPr>
      </w:r>
      <w:r w:rsidRPr="0076257E">
        <w:rPr>
          <w:sz w:val="20"/>
          <w:szCs w:val="20"/>
        </w:rPr>
        <w:fldChar w:fldCharType="separate"/>
      </w:r>
      <w:r w:rsidRPr="00A04EB0">
        <w:rPr>
          <w:sz w:val="20"/>
          <w:szCs w:val="20"/>
        </w:rPr>
        <w:t xml:space="preserve">Table </w:t>
      </w:r>
      <w:r w:rsidRPr="00A04EB0">
        <w:rPr>
          <w:noProof/>
          <w:sz w:val="20"/>
          <w:szCs w:val="20"/>
        </w:rPr>
        <w:t>9</w:t>
      </w:r>
      <w:r w:rsidRPr="0076257E">
        <w:rPr>
          <w:sz w:val="20"/>
          <w:szCs w:val="20"/>
        </w:rPr>
        <w:fldChar w:fldCharType="end"/>
      </w:r>
      <w:r w:rsidRPr="0076257E">
        <w:rPr>
          <w:sz w:val="20"/>
          <w:szCs w:val="20"/>
        </w:rPr>
        <w:t xml:space="preserve"> summarizes data gathered from several NRR-DR projects:</w:t>
      </w:r>
    </w:p>
    <w:p w14:paraId="29F3F730" w14:textId="77777777" w:rsidR="00B629E1" w:rsidRPr="0076257E" w:rsidRDefault="00B629E1" w:rsidP="00B629E1">
      <w:pPr>
        <w:rPr>
          <w:sz w:val="20"/>
          <w:szCs w:val="20"/>
        </w:rPr>
      </w:pPr>
    </w:p>
    <w:p w14:paraId="0F5EBE56" w14:textId="77777777" w:rsidR="00B629E1" w:rsidRPr="0076257E" w:rsidRDefault="00B629E1" w:rsidP="00B629E1">
      <w:pPr>
        <w:pStyle w:val="Caption"/>
        <w:jc w:val="center"/>
      </w:pPr>
      <w:bookmarkStart w:id="113" w:name="_Ref240703915"/>
      <w:bookmarkStart w:id="114" w:name="_Toc240703737"/>
      <w:bookmarkStart w:id="115" w:name="_Toc491176177"/>
      <w:r w:rsidRPr="0076257E">
        <w:t xml:space="preserve">Table </w:t>
      </w:r>
      <w:r w:rsidR="007C4CAE">
        <w:fldChar w:fldCharType="begin"/>
      </w:r>
      <w:r w:rsidR="007C4CAE">
        <w:instrText xml:space="preserve"> SEQ Table \* ARABIC </w:instrText>
      </w:r>
      <w:r w:rsidR="007C4CAE">
        <w:fldChar w:fldCharType="separate"/>
      </w:r>
      <w:r>
        <w:rPr>
          <w:noProof/>
        </w:rPr>
        <w:t>9</w:t>
      </w:r>
      <w:r w:rsidR="007C4CAE">
        <w:rPr>
          <w:noProof/>
        </w:rPr>
        <w:fldChar w:fldCharType="end"/>
      </w:r>
      <w:bookmarkEnd w:id="113"/>
      <w:r w:rsidRPr="0076257E">
        <w:t xml:space="preserve"> Water Usage and Reduction Factors</w:t>
      </w:r>
      <w:bookmarkEnd w:id="114"/>
      <w:bookmarkEnd w:id="115"/>
    </w:p>
    <w:p w14:paraId="40B8B12C" w14:textId="77777777" w:rsidR="00B629E1" w:rsidRDefault="00B629E1" w:rsidP="00B629E1">
      <w:pPr>
        <w:jc w:val="center"/>
        <w:rPr>
          <w:sz w:val="20"/>
          <w:szCs w:val="20"/>
        </w:rPr>
      </w:pPr>
      <w:r w:rsidRPr="0076257E">
        <w:rPr>
          <w:noProof/>
          <w:sz w:val="20"/>
          <w:szCs w:val="20"/>
        </w:rPr>
        <w:drawing>
          <wp:inline distT="0" distB="0" distL="0" distR="0" wp14:anchorId="2DAB74B8" wp14:editId="25A9811A">
            <wp:extent cx="4629150" cy="2628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629150" cy="2628900"/>
                    </a:xfrm>
                    <a:prstGeom prst="rect">
                      <a:avLst/>
                    </a:prstGeom>
                    <a:noFill/>
                    <a:ln>
                      <a:noFill/>
                    </a:ln>
                  </pic:spPr>
                </pic:pic>
              </a:graphicData>
            </a:graphic>
          </wp:inline>
        </w:drawing>
      </w:r>
    </w:p>
    <w:p w14:paraId="0871CD37" w14:textId="77777777" w:rsidR="00B629E1" w:rsidRPr="0076257E" w:rsidRDefault="00B629E1" w:rsidP="00B629E1">
      <w:pPr>
        <w:jc w:val="center"/>
        <w:rPr>
          <w:sz w:val="20"/>
          <w:szCs w:val="20"/>
        </w:rPr>
      </w:pPr>
    </w:p>
    <w:p w14:paraId="10DA5D7F" w14:textId="77777777" w:rsidR="00B629E1" w:rsidRPr="0076257E" w:rsidRDefault="00B629E1" w:rsidP="00B629E1">
      <w:pPr>
        <w:rPr>
          <w:sz w:val="20"/>
          <w:szCs w:val="20"/>
        </w:rPr>
      </w:pPr>
      <w:r w:rsidRPr="0076257E">
        <w:rPr>
          <w:sz w:val="20"/>
          <w:szCs w:val="20"/>
        </w:rPr>
        <w:t>Note:</w:t>
      </w:r>
    </w:p>
    <w:p w14:paraId="2441928D" w14:textId="77777777" w:rsidR="00B629E1" w:rsidRPr="0076257E" w:rsidRDefault="00B629E1" w:rsidP="00B629E1">
      <w:pPr>
        <w:rPr>
          <w:sz w:val="20"/>
          <w:szCs w:val="20"/>
        </w:rPr>
      </w:pPr>
      <w:r w:rsidRPr="0076257E">
        <w:rPr>
          <w:sz w:val="20"/>
          <w:szCs w:val="20"/>
        </w:rPr>
        <w:t xml:space="preserve">- The shaded rows in </w:t>
      </w:r>
      <w:r w:rsidRPr="0076257E">
        <w:rPr>
          <w:sz w:val="20"/>
          <w:szCs w:val="20"/>
        </w:rPr>
        <w:fldChar w:fldCharType="begin"/>
      </w:r>
      <w:r w:rsidRPr="0076257E">
        <w:rPr>
          <w:sz w:val="20"/>
          <w:szCs w:val="20"/>
        </w:rPr>
        <w:instrText xml:space="preserve"> REF _Ref240703915 \h </w:instrText>
      </w:r>
      <w:r>
        <w:rPr>
          <w:sz w:val="20"/>
          <w:szCs w:val="20"/>
        </w:rPr>
        <w:instrText xml:space="preserve"> \* MERGEFORMAT </w:instrText>
      </w:r>
      <w:r w:rsidRPr="0076257E">
        <w:rPr>
          <w:sz w:val="20"/>
          <w:szCs w:val="20"/>
        </w:rPr>
      </w:r>
      <w:r w:rsidRPr="0076257E">
        <w:rPr>
          <w:sz w:val="20"/>
          <w:szCs w:val="20"/>
        </w:rPr>
        <w:fldChar w:fldCharType="separate"/>
      </w:r>
      <w:r w:rsidRPr="00A04EB0">
        <w:rPr>
          <w:sz w:val="20"/>
          <w:szCs w:val="20"/>
        </w:rPr>
        <w:t xml:space="preserve">Table </w:t>
      </w:r>
      <w:r w:rsidRPr="00A04EB0">
        <w:rPr>
          <w:noProof/>
          <w:sz w:val="20"/>
          <w:szCs w:val="20"/>
        </w:rPr>
        <w:t>9</w:t>
      </w:r>
      <w:r w:rsidRPr="0076257E">
        <w:rPr>
          <w:sz w:val="20"/>
          <w:szCs w:val="20"/>
        </w:rPr>
        <w:fldChar w:fldCharType="end"/>
      </w:r>
      <w:r w:rsidRPr="0076257E">
        <w:rPr>
          <w:sz w:val="20"/>
          <w:szCs w:val="20"/>
        </w:rPr>
        <w:t xml:space="preserve"> represent projects that did not have total water data available or did not have washer utilization data available. This is due to differing calculation methods.</w:t>
      </w:r>
    </w:p>
    <w:p w14:paraId="029FF4A8" w14:textId="77777777" w:rsidR="00B629E1" w:rsidRPr="0076257E" w:rsidRDefault="00B629E1" w:rsidP="00B629E1">
      <w:pPr>
        <w:rPr>
          <w:sz w:val="20"/>
          <w:szCs w:val="20"/>
        </w:rPr>
      </w:pPr>
    </w:p>
    <w:p w14:paraId="4D7984CE" w14:textId="77777777" w:rsidR="00B629E1" w:rsidRPr="0076257E" w:rsidRDefault="00B629E1" w:rsidP="00B629E1">
      <w:pPr>
        <w:rPr>
          <w:sz w:val="20"/>
          <w:szCs w:val="20"/>
        </w:rPr>
      </w:pPr>
      <w:r w:rsidRPr="0076257E">
        <w:rPr>
          <w:sz w:val="20"/>
          <w:szCs w:val="20"/>
        </w:rPr>
        <w:t>The Washer Utilization Factor is also based on data collected from the NRR-DR program and is calculated above in the Gas Savings Calculations.</w:t>
      </w:r>
    </w:p>
    <w:p w14:paraId="49E8C062" w14:textId="77777777" w:rsidR="00B629E1" w:rsidRPr="0076257E" w:rsidRDefault="00B629E1" w:rsidP="00B629E1">
      <w:pPr>
        <w:rPr>
          <w:sz w:val="20"/>
          <w:szCs w:val="20"/>
        </w:rPr>
      </w:pPr>
    </w:p>
    <w:p w14:paraId="01294F84" w14:textId="77777777" w:rsidR="00B629E1" w:rsidRPr="0076257E" w:rsidRDefault="00B629E1" w:rsidP="00B629E1">
      <w:pPr>
        <w:rPr>
          <w:sz w:val="20"/>
          <w:szCs w:val="20"/>
        </w:rPr>
      </w:pPr>
      <w:r w:rsidRPr="0076257E">
        <w:rPr>
          <w:sz w:val="20"/>
          <w:szCs w:val="20"/>
        </w:rPr>
        <w:t>Finally, the average annual water savings for the measure is calculated below:</w:t>
      </w:r>
    </w:p>
    <w:p w14:paraId="28DC1B40" w14:textId="77777777" w:rsidR="00B629E1" w:rsidRPr="0076257E" w:rsidRDefault="00B629E1" w:rsidP="00B629E1">
      <w:pPr>
        <w:jc w:val="center"/>
        <w:rPr>
          <w:sz w:val="20"/>
          <w:szCs w:val="20"/>
        </w:rPr>
      </w:pPr>
      <w:r w:rsidRPr="0076257E">
        <w:rPr>
          <w:noProof/>
          <w:sz w:val="20"/>
          <w:szCs w:val="20"/>
        </w:rPr>
        <w:drawing>
          <wp:inline distT="0" distB="0" distL="0" distR="0" wp14:anchorId="72CA7625" wp14:editId="5C235004">
            <wp:extent cx="5248275" cy="904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p>
    <w:p w14:paraId="1F0E24BE" w14:textId="77777777" w:rsidR="00B629E1" w:rsidRDefault="00B629E1" w:rsidP="00B629E1">
      <w:pPr>
        <w:jc w:val="center"/>
        <w:rPr>
          <w:sz w:val="20"/>
          <w:szCs w:val="20"/>
        </w:rPr>
      </w:pPr>
      <w:r w:rsidRPr="0076257E">
        <w:rPr>
          <w:noProof/>
          <w:sz w:val="20"/>
          <w:szCs w:val="20"/>
        </w:rPr>
        <w:drawing>
          <wp:inline distT="0" distB="0" distL="0" distR="0" wp14:anchorId="51C19CEB" wp14:editId="0BADB9B1">
            <wp:extent cx="5248275" cy="428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248275" cy="428625"/>
                    </a:xfrm>
                    <a:prstGeom prst="rect">
                      <a:avLst/>
                    </a:prstGeom>
                    <a:noFill/>
                    <a:ln>
                      <a:noFill/>
                    </a:ln>
                  </pic:spPr>
                </pic:pic>
              </a:graphicData>
            </a:graphic>
          </wp:inline>
        </w:drawing>
      </w:r>
    </w:p>
    <w:p w14:paraId="7CA45EBB" w14:textId="77777777" w:rsidR="00B629E1" w:rsidRDefault="00B629E1" w:rsidP="00B629E1">
      <w:pPr>
        <w:rPr>
          <w:rFonts w:cs="Arial"/>
          <w:b/>
          <w:bCs/>
          <w:kern w:val="32"/>
          <w:sz w:val="32"/>
          <w:szCs w:val="32"/>
        </w:rPr>
      </w:pPr>
    </w:p>
    <w:p w14:paraId="48D31BFD" w14:textId="77777777" w:rsidR="00B629E1" w:rsidRPr="00B629E1" w:rsidRDefault="00B629E1" w:rsidP="00B629E1">
      <w:pPr>
        <w:pStyle w:val="Heading1"/>
        <w:rPr>
          <w:i/>
        </w:rPr>
      </w:pPr>
      <w:bookmarkStart w:id="116" w:name="_Toc491175844"/>
      <w:r w:rsidRPr="00B629E1">
        <w:rPr>
          <w:i/>
          <w:sz w:val="28"/>
        </w:rPr>
        <w:lastRenderedPageBreak/>
        <w:t xml:space="preserve">2.5 </w:t>
      </w:r>
      <w:proofErr w:type="spellStart"/>
      <w:r>
        <w:rPr>
          <w:i/>
          <w:sz w:val="28"/>
          <w:szCs w:val="28"/>
        </w:rPr>
        <w:t>SoCalGas</w:t>
      </w:r>
      <w:proofErr w:type="spellEnd"/>
      <w:r>
        <w:rPr>
          <w:i/>
          <w:sz w:val="28"/>
          <w:szCs w:val="28"/>
        </w:rPr>
        <w:t xml:space="preserve"> Energy Savings Estimation Methodology</w:t>
      </w:r>
      <w:bookmarkEnd w:id="116"/>
    </w:p>
    <w:p w14:paraId="65E5984B" w14:textId="77777777" w:rsidR="00B629E1" w:rsidRDefault="007847B2" w:rsidP="00B629E1">
      <w:pPr>
        <w:rPr>
          <w:sz w:val="20"/>
        </w:rPr>
      </w:pPr>
      <w:r>
        <w:rPr>
          <w:sz w:val="20"/>
        </w:rPr>
        <w:t xml:space="preserve">As a reference to estimation methodology in the previous section (2.4), </w:t>
      </w:r>
      <w:proofErr w:type="spellStart"/>
      <w:r w:rsidR="00B629E1">
        <w:rPr>
          <w:sz w:val="20"/>
        </w:rPr>
        <w:t>SoCalGas</w:t>
      </w:r>
      <w:proofErr w:type="spellEnd"/>
      <w:r w:rsidR="00B629E1">
        <w:rPr>
          <w:sz w:val="20"/>
        </w:rPr>
        <w:t xml:space="preserve"> utilized manufacturer rated information to analyze and calculate an estimate of the amount of </w:t>
      </w:r>
      <w:proofErr w:type="spellStart"/>
      <w:r w:rsidR="00B629E1">
        <w:rPr>
          <w:sz w:val="20"/>
        </w:rPr>
        <w:t>therm</w:t>
      </w:r>
      <w:proofErr w:type="spellEnd"/>
      <w:r w:rsidR="00B629E1">
        <w:rPr>
          <w:sz w:val="20"/>
        </w:rPr>
        <w:t xml:space="preserve"> savings that a customer will experience when implementing an ozone injection system onto their washers. Washer manufacturers provide washing cycle information and include details such as steps (Rinse, Extract, Drain, Etc.) and will also detail how much water is used and the temperature of the water the washer will be pulling from the boiler during that step (Hot, Warm, Cold). SCG was able to use this information in combination with site specific data such as water temperature (°F) and loads of laundry processed per day. </w:t>
      </w:r>
    </w:p>
    <w:p w14:paraId="341057DA" w14:textId="77777777" w:rsidR="00B629E1" w:rsidRDefault="00B629E1" w:rsidP="00B629E1">
      <w:pPr>
        <w:rPr>
          <w:sz w:val="20"/>
        </w:rPr>
      </w:pPr>
    </w:p>
    <w:p w14:paraId="72072188" w14:textId="77777777" w:rsidR="00B629E1" w:rsidRDefault="00B629E1" w:rsidP="00B629E1">
      <w:pPr>
        <w:rPr>
          <w:sz w:val="20"/>
        </w:rPr>
      </w:pPr>
      <w:r>
        <w:rPr>
          <w:sz w:val="20"/>
        </w:rPr>
        <w:t>The following equation to calculate heat capacity can be used to calculate the amount of energy needed to provide the required water temperature to the washer traditionally, without the implementation of ozone.</w:t>
      </w:r>
    </w:p>
    <w:p w14:paraId="169E485C" w14:textId="77777777" w:rsidR="00B629E1" w:rsidRDefault="00B629E1" w:rsidP="00B629E1">
      <w:pPr>
        <w:rPr>
          <w:sz w:val="20"/>
        </w:rPr>
      </w:pPr>
      <m:oMathPara>
        <m:oMath>
          <m:r>
            <w:rPr>
              <w:rFonts w:ascii="Cambria Math" w:hAnsi="Cambria Math"/>
              <w:sz w:val="20"/>
            </w:rPr>
            <m:t>Q=</m:t>
          </m:r>
          <m:f>
            <m:fPr>
              <m:ctrlPr>
                <w:rPr>
                  <w:rFonts w:ascii="Cambria Math" w:hAnsi="Cambria Math"/>
                  <w:i/>
                  <w:sz w:val="20"/>
                </w:rPr>
              </m:ctrlPr>
            </m:fPr>
            <m:num>
              <m:r>
                <w:rPr>
                  <w:rFonts w:ascii="Cambria Math" w:hAnsi="Cambria Math"/>
                  <w:sz w:val="20"/>
                </w:rPr>
                <m:t>m</m:t>
              </m:r>
              <m:sSub>
                <m:sSubPr>
                  <m:ctrlPr>
                    <w:rPr>
                      <w:rFonts w:ascii="Cambria Math" w:hAnsi="Cambria Math"/>
                      <w:i/>
                      <w:sz w:val="20"/>
                    </w:rPr>
                  </m:ctrlPr>
                </m:sSubPr>
                <m:e>
                  <m:r>
                    <w:rPr>
                      <w:rFonts w:ascii="Cambria Math" w:hAnsi="Cambria Math"/>
                      <w:sz w:val="20"/>
                    </w:rPr>
                    <m:t>C</m:t>
                  </m:r>
                </m:e>
                <m:sub>
                  <m:r>
                    <w:rPr>
                      <w:rFonts w:ascii="Cambria Math" w:hAnsi="Cambria Math"/>
                      <w:sz w:val="20"/>
                    </w:rPr>
                    <m:t>p</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r>
                <w:rPr>
                  <w:rFonts w:ascii="Cambria Math" w:hAnsi="Cambria Math"/>
                  <w:sz w:val="20"/>
                </w:rPr>
                <m:t>)</m:t>
              </m:r>
            </m:num>
            <m:den>
              <m:r>
                <w:rPr>
                  <w:rFonts w:ascii="Cambria Math" w:hAnsi="Cambria Math"/>
                  <w:sz w:val="20"/>
                </w:rPr>
                <m:t>η</m:t>
              </m:r>
            </m:den>
          </m:f>
        </m:oMath>
      </m:oMathPara>
    </w:p>
    <w:p w14:paraId="6DF45C56" w14:textId="77777777" w:rsidR="00B629E1" w:rsidRDefault="00B629E1" w:rsidP="00B629E1">
      <w:pPr>
        <w:rPr>
          <w:sz w:val="20"/>
        </w:rPr>
      </w:pPr>
    </w:p>
    <w:p w14:paraId="528741BB" w14:textId="77777777" w:rsidR="00B629E1" w:rsidRDefault="00B629E1" w:rsidP="00B629E1">
      <w:pPr>
        <w:rPr>
          <w:sz w:val="20"/>
        </w:rPr>
      </w:pPr>
      <w:r>
        <w:rPr>
          <w:sz w:val="20"/>
        </w:rPr>
        <w:t xml:space="preserve">Where </w:t>
      </w:r>
      <w:r>
        <w:rPr>
          <w:i/>
          <w:sz w:val="20"/>
        </w:rPr>
        <w:t>m</w:t>
      </w:r>
      <w:r>
        <w:rPr>
          <w:sz w:val="20"/>
        </w:rPr>
        <w:t xml:space="preserve"> is equal to the mass of the water (</w:t>
      </w:r>
      <w:proofErr w:type="spellStart"/>
      <w:r>
        <w:rPr>
          <w:sz w:val="20"/>
        </w:rPr>
        <w:t>lbs</w:t>
      </w:r>
      <w:proofErr w:type="spellEnd"/>
      <w:r>
        <w:rPr>
          <w:sz w:val="20"/>
        </w:rPr>
        <w:t xml:space="preserve">) and </w:t>
      </w:r>
      <w:proofErr w:type="spellStart"/>
      <w:r>
        <w:rPr>
          <w:i/>
          <w:sz w:val="20"/>
        </w:rPr>
        <w:t>C</w:t>
      </w:r>
      <w:r>
        <w:rPr>
          <w:i/>
          <w:sz w:val="20"/>
          <w:vertAlign w:val="subscript"/>
        </w:rPr>
        <w:t>p</w:t>
      </w:r>
      <w:proofErr w:type="spellEnd"/>
      <w:r>
        <w:rPr>
          <w:sz w:val="20"/>
        </w:rPr>
        <w:t xml:space="preserve"> is equal to the specific heat capacity of water (</w:t>
      </w:r>
      <w:r>
        <w:rPr>
          <w:sz w:val="20"/>
          <w:vertAlign w:val="superscript"/>
        </w:rPr>
        <w:t>BTU</w:t>
      </w:r>
      <w:r>
        <w:rPr>
          <w:sz w:val="20"/>
        </w:rPr>
        <w:t>/</w:t>
      </w:r>
      <w:proofErr w:type="spellStart"/>
      <w:r>
        <w:rPr>
          <w:sz w:val="20"/>
          <w:vertAlign w:val="subscript"/>
        </w:rPr>
        <w:t>lb°F</w:t>
      </w:r>
      <w:proofErr w:type="spellEnd"/>
      <w:r>
        <w:rPr>
          <w:sz w:val="20"/>
        </w:rPr>
        <w:t xml:space="preserve">). </w:t>
      </w:r>
      <w:r>
        <w:rPr>
          <w:i/>
          <w:sz w:val="20"/>
        </w:rPr>
        <w:t>T</w:t>
      </w:r>
      <w:r>
        <w:rPr>
          <w:i/>
          <w:sz w:val="20"/>
          <w:vertAlign w:val="subscript"/>
        </w:rPr>
        <w:t>2</w:t>
      </w:r>
      <w:r>
        <w:rPr>
          <w:sz w:val="20"/>
        </w:rPr>
        <w:t xml:space="preserve"> refers to the temperature that the water must be raised to for the needs of washing, </w:t>
      </w:r>
      <w:r>
        <w:rPr>
          <w:i/>
          <w:sz w:val="20"/>
        </w:rPr>
        <w:t>T</w:t>
      </w:r>
      <w:r>
        <w:rPr>
          <w:i/>
          <w:sz w:val="20"/>
          <w:vertAlign w:val="subscript"/>
        </w:rPr>
        <w:t>1</w:t>
      </w:r>
      <w:r>
        <w:rPr>
          <w:sz w:val="20"/>
        </w:rPr>
        <w:t xml:space="preserve"> refers to the temperature of the water supplied to the boiler from the city, and </w:t>
      </w:r>
      <w:r w:rsidRPr="00CB7AFA">
        <w:rPr>
          <w:rFonts w:cs="Arial"/>
          <w:i/>
          <w:sz w:val="20"/>
        </w:rPr>
        <w:t>η</w:t>
      </w:r>
      <w:r>
        <w:rPr>
          <w:sz w:val="20"/>
        </w:rPr>
        <w:t xml:space="preserve"> represents the efficiency of the boiler. The term </w:t>
      </w:r>
      <w:r>
        <w:rPr>
          <w:i/>
          <w:sz w:val="20"/>
        </w:rPr>
        <w:t>Q</w:t>
      </w:r>
      <w:r>
        <w:rPr>
          <w:sz w:val="20"/>
        </w:rPr>
        <w:t xml:space="preserve"> signifies the amount of energy needed to raise a specific mass of water from T</w:t>
      </w:r>
      <w:r>
        <w:rPr>
          <w:sz w:val="20"/>
          <w:vertAlign w:val="subscript"/>
        </w:rPr>
        <w:t>1</w:t>
      </w:r>
      <w:r>
        <w:rPr>
          <w:sz w:val="20"/>
        </w:rPr>
        <w:t xml:space="preserve"> to T</w:t>
      </w:r>
      <w:r>
        <w:rPr>
          <w:sz w:val="20"/>
          <w:vertAlign w:val="subscript"/>
        </w:rPr>
        <w:t>2</w:t>
      </w:r>
      <w:r>
        <w:rPr>
          <w:sz w:val="20"/>
        </w:rPr>
        <w:t xml:space="preserve">. This was calculated for each step in the washing cycle to sum up the total amount of energy the unit would use for one washing cycle. This can then be multiplied by loads/day and operational days per week to find the total amount of gas needed to operate the washer annually. </w:t>
      </w:r>
    </w:p>
    <w:p w14:paraId="29F191C1" w14:textId="77777777" w:rsidR="00B629E1" w:rsidRDefault="00B629E1" w:rsidP="00B629E1">
      <w:pPr>
        <w:rPr>
          <w:sz w:val="20"/>
        </w:rPr>
      </w:pPr>
    </w:p>
    <w:p w14:paraId="33716564" w14:textId="03920CC9" w:rsidR="00B629E1" w:rsidRPr="009027DB" w:rsidRDefault="00B629E1" w:rsidP="00B629E1">
      <w:pPr>
        <w:rPr>
          <w:sz w:val="20"/>
        </w:rPr>
      </w:pPr>
      <w:r>
        <w:rPr>
          <w:sz w:val="20"/>
        </w:rPr>
        <w:t>To reiterate what’s stated in section 1.1, the injection of ozone allows clothes and linens to be cleaned in cold water. This allows for the new calculation of energy usage with the implementation to ozone to cause the value of T</w:t>
      </w:r>
      <w:r>
        <w:rPr>
          <w:sz w:val="20"/>
          <w:vertAlign w:val="subscript"/>
        </w:rPr>
        <w:t>2</w:t>
      </w:r>
      <w:r>
        <w:rPr>
          <w:sz w:val="20"/>
        </w:rPr>
        <w:t xml:space="preserve"> to be lessened and or in most all cases equal to the value of T</w:t>
      </w:r>
      <w:r>
        <w:rPr>
          <w:sz w:val="20"/>
          <w:vertAlign w:val="subscript"/>
        </w:rPr>
        <w:t>1</w:t>
      </w:r>
      <w:r>
        <w:rPr>
          <w:sz w:val="20"/>
        </w:rPr>
        <w:t xml:space="preserve">, causing the energy needed to be put into the system to become zero. This is where the savings for the technology originates and the use of the above calculation serves as a basis for showing where the savings is coming from. A short example of this calculation can be seen in </w:t>
      </w:r>
      <w:r w:rsidR="00A8378F">
        <w:rPr>
          <w:sz w:val="20"/>
        </w:rPr>
        <w:t>“</w:t>
      </w:r>
      <w:r w:rsidR="00A8378F" w:rsidRPr="00A8378F">
        <w:rPr>
          <w:sz w:val="20"/>
        </w:rPr>
        <w:t>SCG Ozone Example Calculation.xls</w:t>
      </w:r>
      <w:r w:rsidR="00A8378F">
        <w:rPr>
          <w:sz w:val="20"/>
        </w:rPr>
        <w:t>”.</w:t>
      </w:r>
    </w:p>
    <w:p w14:paraId="535A65AA" w14:textId="77777777" w:rsidR="00B629E1" w:rsidRDefault="00B629E1" w:rsidP="00B629E1">
      <w:pPr>
        <w:rPr>
          <w:sz w:val="20"/>
        </w:rPr>
      </w:pPr>
    </w:p>
    <w:p w14:paraId="4DFB0E1D" w14:textId="3439AE77" w:rsidR="007E43DB" w:rsidRDefault="00E571E1" w:rsidP="00CA2602">
      <w:pPr>
        <w:rPr>
          <w:sz w:val="20"/>
        </w:rPr>
      </w:pPr>
      <w:r>
        <w:rPr>
          <w:sz w:val="20"/>
        </w:rPr>
        <w:t>Estimated gas</w:t>
      </w:r>
      <w:r w:rsidRPr="00984959">
        <w:rPr>
          <w:sz w:val="20"/>
        </w:rPr>
        <w:t xml:space="preserve"> </w:t>
      </w:r>
      <w:r w:rsidR="00984959" w:rsidRPr="00984959">
        <w:rPr>
          <w:sz w:val="20"/>
        </w:rPr>
        <w:t xml:space="preserve">savings </w:t>
      </w:r>
      <w:r>
        <w:rPr>
          <w:sz w:val="20"/>
        </w:rPr>
        <w:t xml:space="preserve">in this attachment </w:t>
      </w:r>
      <w:r w:rsidR="007E43DB">
        <w:rPr>
          <w:sz w:val="20"/>
        </w:rPr>
        <w:t>were developed from a sample of customized projects from Southern California Gas Company’s customized energy efficiency program. These projects include:</w:t>
      </w:r>
    </w:p>
    <w:p w14:paraId="335942D5" w14:textId="77777777" w:rsidR="007E43DB" w:rsidRDefault="007E43DB" w:rsidP="00CA2602">
      <w:pPr>
        <w:rPr>
          <w:sz w:val="20"/>
        </w:rPr>
      </w:pPr>
      <w:r>
        <w:rPr>
          <w:sz w:val="20"/>
        </w:rPr>
        <w:tab/>
        <w:t>- 10 projects installed in hotel rooms with &lt;250 guest rooms</w:t>
      </w:r>
    </w:p>
    <w:p w14:paraId="0265A61F" w14:textId="77777777" w:rsidR="007E43DB" w:rsidRDefault="007E43DB" w:rsidP="00CA2602">
      <w:pPr>
        <w:rPr>
          <w:sz w:val="20"/>
        </w:rPr>
      </w:pPr>
      <w:r>
        <w:rPr>
          <w:sz w:val="20"/>
        </w:rPr>
        <w:tab/>
        <w:t>- 5 projects installed in hotel rooms with &gt;250 guest rooms and</w:t>
      </w:r>
    </w:p>
    <w:p w14:paraId="10A2A458" w14:textId="77777777" w:rsidR="007E43DB" w:rsidRDefault="007E43DB" w:rsidP="00CA2602">
      <w:pPr>
        <w:rPr>
          <w:sz w:val="20"/>
        </w:rPr>
      </w:pPr>
      <w:r>
        <w:rPr>
          <w:sz w:val="20"/>
        </w:rPr>
        <w:tab/>
        <w:t>- 7 projects installed in nursing facilities</w:t>
      </w:r>
    </w:p>
    <w:p w14:paraId="4A877679" w14:textId="77777777" w:rsidR="007E43DB" w:rsidRDefault="007E43DB" w:rsidP="00CA2602">
      <w:pPr>
        <w:rPr>
          <w:sz w:val="20"/>
        </w:rPr>
      </w:pPr>
    </w:p>
    <w:p w14:paraId="49D8DAC5" w14:textId="77777777" w:rsidR="007E43DB" w:rsidRDefault="007E43DB" w:rsidP="00CA2602">
      <w:pPr>
        <w:rPr>
          <w:sz w:val="20"/>
        </w:rPr>
      </w:pPr>
      <w:r>
        <w:rPr>
          <w:sz w:val="20"/>
        </w:rPr>
        <w:t xml:space="preserve">See file “SCG Ozone Laundry Project Data.xlsx” for </w:t>
      </w:r>
      <w:r w:rsidR="00D678E4">
        <w:rPr>
          <w:sz w:val="20"/>
        </w:rPr>
        <w:t>details on these projects. An average of each set of projects is provided below:</w:t>
      </w:r>
    </w:p>
    <w:p w14:paraId="1F4D971A" w14:textId="77777777" w:rsidR="00D678E4" w:rsidRDefault="00D678E4" w:rsidP="00CA2602">
      <w:pPr>
        <w:rPr>
          <w:sz w:val="20"/>
        </w:rPr>
      </w:pPr>
    </w:p>
    <w:tbl>
      <w:tblPr>
        <w:tblStyle w:val="TableGrid"/>
        <w:tblW w:w="0" w:type="auto"/>
        <w:jc w:val="center"/>
        <w:tblLook w:val="04A0" w:firstRow="1" w:lastRow="0" w:firstColumn="1" w:lastColumn="0" w:noHBand="0" w:noVBand="1"/>
      </w:tblPr>
      <w:tblGrid>
        <w:gridCol w:w="3192"/>
        <w:gridCol w:w="3192"/>
      </w:tblGrid>
      <w:tr w:rsidR="00D678E4" w14:paraId="3FAA221E" w14:textId="77777777" w:rsidTr="00D678E4">
        <w:trPr>
          <w:jc w:val="center"/>
        </w:trPr>
        <w:tc>
          <w:tcPr>
            <w:tcW w:w="3192" w:type="dxa"/>
          </w:tcPr>
          <w:p w14:paraId="7EAA8A9F" w14:textId="77777777" w:rsidR="00D678E4" w:rsidRDefault="00D678E4" w:rsidP="00D678E4">
            <w:pPr>
              <w:jc w:val="center"/>
              <w:rPr>
                <w:sz w:val="20"/>
              </w:rPr>
            </w:pPr>
          </w:p>
        </w:tc>
        <w:tc>
          <w:tcPr>
            <w:tcW w:w="3192" w:type="dxa"/>
          </w:tcPr>
          <w:p w14:paraId="6F94EF38" w14:textId="77777777" w:rsidR="00D678E4" w:rsidRDefault="00D678E4" w:rsidP="00CA2602">
            <w:pPr>
              <w:rPr>
                <w:sz w:val="20"/>
              </w:rPr>
            </w:pPr>
            <w:r>
              <w:rPr>
                <w:sz w:val="20"/>
              </w:rPr>
              <w:t xml:space="preserve">Average </w:t>
            </w:r>
            <w:proofErr w:type="spellStart"/>
            <w:r>
              <w:rPr>
                <w:sz w:val="20"/>
              </w:rPr>
              <w:t>therm</w:t>
            </w:r>
            <w:proofErr w:type="spellEnd"/>
            <w:r>
              <w:rPr>
                <w:sz w:val="20"/>
              </w:rPr>
              <w:t xml:space="preserve"> savings (per </w:t>
            </w:r>
            <w:proofErr w:type="spellStart"/>
            <w:r>
              <w:rPr>
                <w:sz w:val="20"/>
              </w:rPr>
              <w:t>lb</w:t>
            </w:r>
            <w:proofErr w:type="spellEnd"/>
            <w:r>
              <w:rPr>
                <w:sz w:val="20"/>
              </w:rPr>
              <w:t xml:space="preserve"> laundry capacity)</w:t>
            </w:r>
          </w:p>
        </w:tc>
      </w:tr>
      <w:tr w:rsidR="00D678E4" w14:paraId="274E813C" w14:textId="77777777" w:rsidTr="00D678E4">
        <w:trPr>
          <w:jc w:val="center"/>
        </w:trPr>
        <w:tc>
          <w:tcPr>
            <w:tcW w:w="3192" w:type="dxa"/>
          </w:tcPr>
          <w:p w14:paraId="7CEBAC97" w14:textId="77777777" w:rsidR="00D678E4" w:rsidRDefault="00D678E4" w:rsidP="00CA2602">
            <w:pPr>
              <w:rPr>
                <w:sz w:val="20"/>
              </w:rPr>
            </w:pPr>
            <w:r>
              <w:rPr>
                <w:sz w:val="20"/>
              </w:rPr>
              <w:t>Hotels &lt;250 rooms (10 projects)</w:t>
            </w:r>
          </w:p>
        </w:tc>
        <w:tc>
          <w:tcPr>
            <w:tcW w:w="3192" w:type="dxa"/>
          </w:tcPr>
          <w:p w14:paraId="784918EF" w14:textId="77777777" w:rsidR="00D678E4" w:rsidRDefault="00D678E4" w:rsidP="00D678E4">
            <w:pPr>
              <w:jc w:val="center"/>
              <w:rPr>
                <w:sz w:val="20"/>
              </w:rPr>
            </w:pPr>
            <w:r>
              <w:rPr>
                <w:sz w:val="20"/>
              </w:rPr>
              <w:t>41.2</w:t>
            </w:r>
          </w:p>
        </w:tc>
      </w:tr>
      <w:tr w:rsidR="00D678E4" w14:paraId="51CE358A" w14:textId="77777777" w:rsidTr="00D678E4">
        <w:trPr>
          <w:jc w:val="center"/>
        </w:trPr>
        <w:tc>
          <w:tcPr>
            <w:tcW w:w="3192" w:type="dxa"/>
          </w:tcPr>
          <w:p w14:paraId="09C0B0BE" w14:textId="77777777" w:rsidR="00D678E4" w:rsidRDefault="00D678E4" w:rsidP="00CA2602">
            <w:pPr>
              <w:rPr>
                <w:sz w:val="20"/>
              </w:rPr>
            </w:pPr>
            <w:r>
              <w:rPr>
                <w:sz w:val="20"/>
              </w:rPr>
              <w:t>Hotels &gt;250 rooms (5 projects)</w:t>
            </w:r>
          </w:p>
        </w:tc>
        <w:tc>
          <w:tcPr>
            <w:tcW w:w="3192" w:type="dxa"/>
          </w:tcPr>
          <w:p w14:paraId="4049299D" w14:textId="77777777" w:rsidR="00D678E4" w:rsidRDefault="00D678E4" w:rsidP="00D678E4">
            <w:pPr>
              <w:jc w:val="center"/>
              <w:rPr>
                <w:sz w:val="20"/>
              </w:rPr>
            </w:pPr>
            <w:r>
              <w:rPr>
                <w:sz w:val="20"/>
              </w:rPr>
              <w:t>35.77</w:t>
            </w:r>
          </w:p>
        </w:tc>
      </w:tr>
      <w:tr w:rsidR="00D678E4" w14:paraId="5E6F4CD8" w14:textId="77777777" w:rsidTr="00D678E4">
        <w:trPr>
          <w:jc w:val="center"/>
        </w:trPr>
        <w:tc>
          <w:tcPr>
            <w:tcW w:w="3192" w:type="dxa"/>
          </w:tcPr>
          <w:p w14:paraId="6EE8D03D" w14:textId="77777777" w:rsidR="00D678E4" w:rsidRDefault="00D678E4" w:rsidP="00CA2602">
            <w:pPr>
              <w:rPr>
                <w:sz w:val="20"/>
              </w:rPr>
            </w:pPr>
            <w:r>
              <w:rPr>
                <w:sz w:val="20"/>
              </w:rPr>
              <w:t>Nursing Facilities (7 projects)</w:t>
            </w:r>
          </w:p>
        </w:tc>
        <w:tc>
          <w:tcPr>
            <w:tcW w:w="3192" w:type="dxa"/>
          </w:tcPr>
          <w:p w14:paraId="74899D95" w14:textId="77777777" w:rsidR="00D678E4" w:rsidRDefault="00D678E4" w:rsidP="00D678E4">
            <w:pPr>
              <w:jc w:val="center"/>
              <w:rPr>
                <w:sz w:val="20"/>
              </w:rPr>
            </w:pPr>
            <w:r>
              <w:rPr>
                <w:sz w:val="20"/>
              </w:rPr>
              <w:t>47.5</w:t>
            </w:r>
          </w:p>
        </w:tc>
      </w:tr>
      <w:tr w:rsidR="00D678E4" w14:paraId="3104F3B2" w14:textId="77777777" w:rsidTr="00D678E4">
        <w:trPr>
          <w:jc w:val="center"/>
        </w:trPr>
        <w:tc>
          <w:tcPr>
            <w:tcW w:w="3192" w:type="dxa"/>
          </w:tcPr>
          <w:p w14:paraId="6EE3F413" w14:textId="77777777" w:rsidR="00D678E4" w:rsidRDefault="00D678E4" w:rsidP="00CA2602">
            <w:pPr>
              <w:rPr>
                <w:sz w:val="20"/>
              </w:rPr>
            </w:pPr>
            <w:r>
              <w:rPr>
                <w:sz w:val="20"/>
              </w:rPr>
              <w:t>Hotels (all, 15 projects)</w:t>
            </w:r>
          </w:p>
        </w:tc>
        <w:tc>
          <w:tcPr>
            <w:tcW w:w="3192" w:type="dxa"/>
          </w:tcPr>
          <w:p w14:paraId="3A17758A" w14:textId="77777777" w:rsidR="00D678E4" w:rsidRDefault="00D678E4" w:rsidP="00D678E4">
            <w:pPr>
              <w:jc w:val="center"/>
              <w:rPr>
                <w:sz w:val="20"/>
              </w:rPr>
            </w:pPr>
            <w:r>
              <w:rPr>
                <w:sz w:val="20"/>
              </w:rPr>
              <w:t>39.4</w:t>
            </w:r>
          </w:p>
        </w:tc>
      </w:tr>
    </w:tbl>
    <w:p w14:paraId="2605AEDC" w14:textId="77777777" w:rsidR="00D678E4" w:rsidRDefault="00D678E4" w:rsidP="00CA2602">
      <w:pPr>
        <w:rPr>
          <w:sz w:val="20"/>
        </w:rPr>
      </w:pPr>
    </w:p>
    <w:p w14:paraId="7267E618" w14:textId="15011F4A" w:rsidR="007E43DB" w:rsidRPr="00984959" w:rsidRDefault="005B4A5F" w:rsidP="00CA2602">
      <w:pPr>
        <w:rPr>
          <w:sz w:val="20"/>
        </w:rPr>
      </w:pPr>
      <w:r>
        <w:rPr>
          <w:sz w:val="20"/>
        </w:rPr>
        <w:t>The gas s</w:t>
      </w:r>
      <w:r w:rsidR="007847B2">
        <w:rPr>
          <w:sz w:val="20"/>
        </w:rPr>
        <w:t>avings for nursing facilities were estimated to be</w:t>
      </w:r>
      <w:r w:rsidR="00D678E4">
        <w:rPr>
          <w:sz w:val="20"/>
        </w:rPr>
        <w:t xml:space="preserve"> 47.5 </w:t>
      </w:r>
      <w:proofErr w:type="spellStart"/>
      <w:r w:rsidR="00D678E4">
        <w:rPr>
          <w:sz w:val="20"/>
        </w:rPr>
        <w:t>therms</w:t>
      </w:r>
      <w:proofErr w:type="spellEnd"/>
      <w:r w:rsidR="00D678E4">
        <w:rPr>
          <w:sz w:val="20"/>
        </w:rPr>
        <w:t xml:space="preserve"> per pound of laundry capacity. </w:t>
      </w:r>
      <w:r w:rsidR="007847B2">
        <w:rPr>
          <w:sz w:val="20"/>
        </w:rPr>
        <w:t>T</w:t>
      </w:r>
      <w:r w:rsidR="00D678E4">
        <w:rPr>
          <w:sz w:val="20"/>
        </w:rPr>
        <w:t>he remaining 15 projects</w:t>
      </w:r>
      <w:r w:rsidR="00A8378F">
        <w:rPr>
          <w:sz w:val="20"/>
        </w:rPr>
        <w:t xml:space="preserve"> </w:t>
      </w:r>
      <w:r w:rsidR="00B67431">
        <w:rPr>
          <w:sz w:val="20"/>
        </w:rPr>
        <w:t xml:space="preserve">installed in </w:t>
      </w:r>
      <w:proofErr w:type="gramStart"/>
      <w:r w:rsidR="00B67431">
        <w:rPr>
          <w:sz w:val="20"/>
        </w:rPr>
        <w:t xml:space="preserve">hotels </w:t>
      </w:r>
      <w:r w:rsidR="007847B2">
        <w:rPr>
          <w:sz w:val="20"/>
        </w:rPr>
        <w:t xml:space="preserve"> are</w:t>
      </w:r>
      <w:proofErr w:type="gramEnd"/>
      <w:r w:rsidR="007847B2">
        <w:rPr>
          <w:sz w:val="20"/>
        </w:rPr>
        <w:t xml:space="preserve"> averaged</w:t>
      </w:r>
      <w:r w:rsidR="00B67431">
        <w:rPr>
          <w:sz w:val="20"/>
        </w:rPr>
        <w:t xml:space="preserve"> at 39.4 </w:t>
      </w:r>
      <w:proofErr w:type="spellStart"/>
      <w:r w:rsidR="00B67431">
        <w:rPr>
          <w:sz w:val="20"/>
        </w:rPr>
        <w:t>therms</w:t>
      </w:r>
      <w:proofErr w:type="spellEnd"/>
      <w:r w:rsidR="00B67431">
        <w:rPr>
          <w:sz w:val="20"/>
        </w:rPr>
        <w:t xml:space="preserve"> per pound of laundry capacity.</w:t>
      </w:r>
      <w:r w:rsidR="00D678E4">
        <w:rPr>
          <w:sz w:val="20"/>
        </w:rPr>
        <w:t xml:space="preserve">  </w:t>
      </w:r>
    </w:p>
    <w:p w14:paraId="16F30CB3" w14:textId="2C2DD8A2" w:rsidR="00B7164C" w:rsidRPr="007A4D97" w:rsidRDefault="00C069A2" w:rsidP="00D20486">
      <w:pPr>
        <w:pStyle w:val="Heading1"/>
        <w:rPr>
          <w:i/>
          <w:sz w:val="28"/>
          <w:szCs w:val="28"/>
        </w:rPr>
      </w:pPr>
      <w:bookmarkStart w:id="117" w:name="_Toc491175845"/>
      <w:r w:rsidRPr="007A4D97">
        <w:rPr>
          <w:i/>
          <w:sz w:val="28"/>
          <w:szCs w:val="28"/>
        </w:rPr>
        <w:t>Section 3</w:t>
      </w:r>
      <w:r w:rsidR="003129E8" w:rsidRPr="007A4D97">
        <w:rPr>
          <w:i/>
          <w:sz w:val="28"/>
          <w:szCs w:val="28"/>
        </w:rPr>
        <w:t>.</w:t>
      </w:r>
      <w:r w:rsidRPr="007A4D97">
        <w:rPr>
          <w:i/>
          <w:sz w:val="28"/>
          <w:szCs w:val="28"/>
        </w:rPr>
        <w:t xml:space="preserve"> Load Shapes</w:t>
      </w:r>
      <w:bookmarkEnd w:id="102"/>
      <w:bookmarkEnd w:id="103"/>
      <w:bookmarkEnd w:id="104"/>
      <w:bookmarkEnd w:id="117"/>
      <w:r w:rsidR="00844B27" w:rsidRPr="007A4D97">
        <w:rPr>
          <w:i/>
          <w:sz w:val="28"/>
          <w:szCs w:val="28"/>
        </w:rPr>
        <w:t xml:space="preserve"> </w:t>
      </w:r>
    </w:p>
    <w:p w14:paraId="053AEAC0" w14:textId="77777777" w:rsidR="00EB7146" w:rsidRPr="00EB7146" w:rsidRDefault="00EB7146" w:rsidP="00EB7146">
      <w:pPr>
        <w:autoSpaceDE w:val="0"/>
        <w:autoSpaceDN w:val="0"/>
        <w:adjustRightInd w:val="0"/>
        <w:rPr>
          <w:sz w:val="20"/>
        </w:rPr>
      </w:pPr>
      <w:r w:rsidRPr="00EB7146">
        <w:rPr>
          <w:sz w:val="20"/>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w:t>
      </w:r>
      <w:r w:rsidRPr="00EB7146">
        <w:rPr>
          <w:sz w:val="20"/>
        </w:rPr>
        <w:lastRenderedPageBreak/>
        <w:t>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404C724F" w14:textId="77777777" w:rsidR="00B7164C" w:rsidRPr="007A4D97" w:rsidRDefault="00BF0332" w:rsidP="0087599D">
      <w:pPr>
        <w:pStyle w:val="Heading2"/>
      </w:pPr>
      <w:bookmarkStart w:id="118" w:name="_Toc173742996"/>
      <w:bookmarkStart w:id="119" w:name="_Toc304800215"/>
      <w:bookmarkStart w:id="120" w:name="_Toc324318369"/>
      <w:bookmarkStart w:id="121" w:name="_Toc324340498"/>
      <w:bookmarkStart w:id="122" w:name="_Toc491175846"/>
      <w:r w:rsidRPr="007A4D97">
        <w:t>3.1 Base Case</w:t>
      </w:r>
      <w:r w:rsidR="00B7164C" w:rsidRPr="007A4D97">
        <w:t xml:space="preserve"> Load Shapes</w:t>
      </w:r>
      <w:bookmarkEnd w:id="118"/>
      <w:bookmarkEnd w:id="119"/>
      <w:bookmarkEnd w:id="120"/>
      <w:bookmarkEnd w:id="121"/>
      <w:bookmarkEnd w:id="122"/>
    </w:p>
    <w:p w14:paraId="4FCA2122" w14:textId="77777777" w:rsidR="00EB7146" w:rsidRPr="00EB7146" w:rsidRDefault="00EB7146" w:rsidP="00EB7146">
      <w:pPr>
        <w:rPr>
          <w:sz w:val="20"/>
        </w:rPr>
      </w:pPr>
      <w:bookmarkStart w:id="123" w:name="_Toc173742997"/>
      <w:bookmarkStart w:id="124" w:name="_Toc304800216"/>
      <w:bookmarkStart w:id="125" w:name="_Toc324318370"/>
      <w:bookmarkStart w:id="126" w:name="_Toc324340499"/>
      <w:r w:rsidRPr="00EB7146">
        <w:rPr>
          <w:sz w:val="20"/>
        </w:rPr>
        <w:t>Load shapes are not applicable to gas measures because the price of gas is not dependent on time-of-use.</w:t>
      </w:r>
    </w:p>
    <w:p w14:paraId="1865E66D" w14:textId="77777777" w:rsidR="00B7164C" w:rsidRPr="007A4D97" w:rsidRDefault="00B7164C" w:rsidP="00D20486">
      <w:pPr>
        <w:pStyle w:val="Heading2"/>
        <w:keepNext w:val="0"/>
      </w:pPr>
      <w:bookmarkStart w:id="127" w:name="_Toc491175847"/>
      <w:r w:rsidRPr="007A4D97">
        <w:t>3.2 Measure Load Shapes</w:t>
      </w:r>
      <w:bookmarkEnd w:id="123"/>
      <w:bookmarkEnd w:id="124"/>
      <w:bookmarkEnd w:id="125"/>
      <w:bookmarkEnd w:id="126"/>
      <w:bookmarkEnd w:id="127"/>
    </w:p>
    <w:p w14:paraId="1845AB9B" w14:textId="77777777" w:rsidR="00EB7146" w:rsidRDefault="00EB7146" w:rsidP="00EB7146">
      <w:pPr>
        <w:rPr>
          <w:sz w:val="20"/>
        </w:rPr>
      </w:pPr>
      <w:bookmarkStart w:id="128" w:name="_Toc304800217"/>
      <w:bookmarkStart w:id="129" w:name="_Toc324318371"/>
      <w:bookmarkStart w:id="130" w:name="_Toc324340500"/>
      <w:r w:rsidRPr="00EB7146">
        <w:rPr>
          <w:sz w:val="20"/>
        </w:rPr>
        <w:t>Load shapes are not applicable to gas measures because the price of gas is not dependent on time-of-use.</w:t>
      </w:r>
    </w:p>
    <w:p w14:paraId="43D52224" w14:textId="77777777" w:rsidR="00C95648" w:rsidRPr="00EB7146" w:rsidRDefault="00C95648" w:rsidP="00EB7146">
      <w:pPr>
        <w:rPr>
          <w:sz w:val="20"/>
        </w:rPr>
      </w:pPr>
    </w:p>
    <w:p w14:paraId="628B87D5" w14:textId="77777777" w:rsidR="00B16BE4" w:rsidRDefault="00C069A2" w:rsidP="00EB7146">
      <w:pPr>
        <w:pStyle w:val="Heading1"/>
        <w:keepNext w:val="0"/>
      </w:pPr>
      <w:bookmarkStart w:id="131" w:name="_Toc491175848"/>
      <w:r>
        <w:t>Section 4</w:t>
      </w:r>
      <w:r w:rsidR="003129E8">
        <w:t>.</w:t>
      </w:r>
      <w:r>
        <w:t xml:space="preserve"> Base Case &amp; Measure Costs</w:t>
      </w:r>
      <w:bookmarkEnd w:id="128"/>
      <w:bookmarkEnd w:id="129"/>
      <w:bookmarkEnd w:id="130"/>
      <w:bookmarkEnd w:id="131"/>
    </w:p>
    <w:p w14:paraId="1DE6DE8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65AFD" w:rsidRPr="00104A00" w14:paraId="4F52A3EC" w14:textId="77777777" w:rsidTr="00B8365C">
        <w:trPr>
          <w:trHeight w:val="255"/>
        </w:trPr>
        <w:tc>
          <w:tcPr>
            <w:tcW w:w="1964" w:type="dxa"/>
            <w:shd w:val="clear" w:color="auto" w:fill="262626"/>
            <w:noWrap/>
            <w:vAlign w:val="bottom"/>
          </w:tcPr>
          <w:p w14:paraId="3CF3CD51" w14:textId="77777777" w:rsidR="00465AFD" w:rsidRPr="001E4C31" w:rsidRDefault="00465AFD" w:rsidP="00B8365C">
            <w:pPr>
              <w:jc w:val="center"/>
              <w:rPr>
                <w:rFonts w:cs="Arial"/>
                <w:b/>
              </w:rPr>
            </w:pPr>
            <w:bookmarkStart w:id="132" w:name="_Toc304800218"/>
            <w:bookmarkStart w:id="133" w:name="_Toc324318372"/>
            <w:bookmarkStart w:id="134" w:name="_Toc324340501"/>
            <w:r>
              <w:rPr>
                <w:rFonts w:cs="Arial"/>
                <w:b/>
              </w:rPr>
              <w:t>Measure Application</w:t>
            </w:r>
            <w:r w:rsidRPr="001E4C31">
              <w:rPr>
                <w:rFonts w:cs="Arial"/>
                <w:b/>
              </w:rPr>
              <w:t xml:space="preserve"> Type</w:t>
            </w:r>
          </w:p>
        </w:tc>
        <w:tc>
          <w:tcPr>
            <w:tcW w:w="1202" w:type="dxa"/>
            <w:shd w:val="clear" w:color="auto" w:fill="262626"/>
            <w:noWrap/>
            <w:vAlign w:val="bottom"/>
          </w:tcPr>
          <w:p w14:paraId="701861F5" w14:textId="77777777" w:rsidR="00465AFD" w:rsidRPr="001E4C31" w:rsidRDefault="00465AFD" w:rsidP="00B8365C">
            <w:pPr>
              <w:jc w:val="center"/>
              <w:rPr>
                <w:rFonts w:cs="Arial"/>
                <w:b/>
              </w:rPr>
            </w:pPr>
            <w:r w:rsidRPr="001E4C31">
              <w:rPr>
                <w:rFonts w:cs="Arial"/>
                <w:b/>
              </w:rPr>
              <w:t>Measure Life Basis</w:t>
            </w:r>
          </w:p>
        </w:tc>
        <w:tc>
          <w:tcPr>
            <w:tcW w:w="2699" w:type="dxa"/>
            <w:shd w:val="clear" w:color="auto" w:fill="262626"/>
            <w:vAlign w:val="bottom"/>
          </w:tcPr>
          <w:p w14:paraId="7272E36B" w14:textId="77777777" w:rsidR="00465AFD" w:rsidRPr="001E4C31" w:rsidRDefault="00465AFD" w:rsidP="00B8365C">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14:paraId="3C8B83F8" w14:textId="77777777" w:rsidR="00465AFD" w:rsidRPr="001E4C31" w:rsidRDefault="00465AFD" w:rsidP="00B8365C">
            <w:pPr>
              <w:jc w:val="center"/>
              <w:rPr>
                <w:rFonts w:cs="Arial"/>
                <w:b/>
              </w:rPr>
            </w:pPr>
            <w:r>
              <w:rPr>
                <w:rFonts w:cs="Arial"/>
                <w:b/>
              </w:rPr>
              <w:t>Second Baseline Period Full</w:t>
            </w:r>
            <w:r w:rsidRPr="001E4C31">
              <w:rPr>
                <w:rFonts w:cs="Arial"/>
                <w:b/>
              </w:rPr>
              <w:t xml:space="preserve"> Measure Cost (EUL – RUL)</w:t>
            </w:r>
          </w:p>
        </w:tc>
      </w:tr>
      <w:tr w:rsidR="00465AFD" w:rsidRPr="00104A00" w14:paraId="49AC401E" w14:textId="77777777" w:rsidTr="00B8365C">
        <w:trPr>
          <w:trHeight w:val="255"/>
        </w:trPr>
        <w:tc>
          <w:tcPr>
            <w:tcW w:w="1964" w:type="dxa"/>
            <w:shd w:val="pct20" w:color="000000" w:fill="FFFFFF"/>
            <w:noWrap/>
            <w:vAlign w:val="bottom"/>
          </w:tcPr>
          <w:p w14:paraId="700918F8" w14:textId="77777777" w:rsidR="00465AFD" w:rsidRDefault="00465AFD" w:rsidP="00B8365C">
            <w:pPr>
              <w:jc w:val="center"/>
              <w:rPr>
                <w:rFonts w:cs="Arial"/>
                <w:b/>
                <w:i/>
              </w:rPr>
            </w:pPr>
            <w:r>
              <w:rPr>
                <w:rFonts w:cs="Arial"/>
                <w:b/>
                <w:i/>
              </w:rPr>
              <w:t>REA (retrofit add on)</w:t>
            </w:r>
          </w:p>
        </w:tc>
        <w:tc>
          <w:tcPr>
            <w:tcW w:w="1202" w:type="dxa"/>
            <w:shd w:val="pct20" w:color="000000" w:fill="FFFFFF"/>
            <w:noWrap/>
            <w:vAlign w:val="bottom"/>
          </w:tcPr>
          <w:p w14:paraId="280FDE54" w14:textId="77777777" w:rsidR="00465AFD" w:rsidRPr="001E4C31" w:rsidRDefault="00465AFD" w:rsidP="00B8365C">
            <w:pPr>
              <w:jc w:val="center"/>
              <w:rPr>
                <w:rFonts w:cs="Arial"/>
                <w:sz w:val="20"/>
                <w:szCs w:val="20"/>
              </w:rPr>
            </w:pPr>
            <w:r>
              <w:rPr>
                <w:rFonts w:cs="Arial"/>
                <w:sz w:val="20"/>
                <w:szCs w:val="20"/>
              </w:rPr>
              <w:t>EUL</w:t>
            </w:r>
          </w:p>
        </w:tc>
        <w:tc>
          <w:tcPr>
            <w:tcW w:w="2699" w:type="dxa"/>
            <w:shd w:val="pct20" w:color="000000" w:fill="FFFFFF"/>
            <w:vAlign w:val="bottom"/>
          </w:tcPr>
          <w:p w14:paraId="03D0F64A" w14:textId="77777777" w:rsidR="00465AFD" w:rsidRPr="001E4C31" w:rsidRDefault="00465AFD" w:rsidP="00B8365C">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02852A16" w14:textId="77777777" w:rsidR="00465AFD" w:rsidRPr="001E4C31" w:rsidRDefault="00465AFD" w:rsidP="00B8365C">
            <w:pPr>
              <w:jc w:val="center"/>
              <w:rPr>
                <w:rFonts w:cs="Arial"/>
                <w:sz w:val="20"/>
                <w:szCs w:val="20"/>
              </w:rPr>
            </w:pPr>
            <w:r>
              <w:rPr>
                <w:rFonts w:cs="Arial"/>
                <w:sz w:val="20"/>
                <w:szCs w:val="20"/>
              </w:rPr>
              <w:t>N/A</w:t>
            </w:r>
          </w:p>
        </w:tc>
      </w:tr>
    </w:tbl>
    <w:p w14:paraId="7024AC98" w14:textId="77777777" w:rsidR="00C95648" w:rsidRPr="00C95648" w:rsidRDefault="00C95648" w:rsidP="00C95648"/>
    <w:p w14:paraId="49FE3110" w14:textId="77777777" w:rsidR="001B242B" w:rsidRPr="00F55847" w:rsidRDefault="00C069A2" w:rsidP="00D20486">
      <w:pPr>
        <w:pStyle w:val="Heading2"/>
        <w:keepNext w:val="0"/>
      </w:pPr>
      <w:bookmarkStart w:id="135" w:name="_Toc491175849"/>
      <w:r>
        <w:t>4.1 Base Case</w:t>
      </w:r>
      <w:r w:rsidR="00C221D5">
        <w:t>(</w:t>
      </w:r>
      <w:r>
        <w:t>s</w:t>
      </w:r>
      <w:r w:rsidR="00C221D5">
        <w:t>)</w:t>
      </w:r>
      <w:r>
        <w:t xml:space="preserve"> Costs</w:t>
      </w:r>
      <w:bookmarkEnd w:id="132"/>
      <w:bookmarkEnd w:id="133"/>
      <w:bookmarkEnd w:id="134"/>
      <w:bookmarkEnd w:id="135"/>
    </w:p>
    <w:p w14:paraId="37AD17BE" w14:textId="77777777" w:rsidR="00EB7146" w:rsidRPr="00EB7146" w:rsidRDefault="000D0CE1" w:rsidP="00EB7146">
      <w:pPr>
        <w:rPr>
          <w:sz w:val="20"/>
        </w:rPr>
      </w:pPr>
      <w:bookmarkStart w:id="136" w:name="_Toc304800219"/>
      <w:bookmarkStart w:id="137" w:name="_Toc324318373"/>
      <w:bookmarkStart w:id="138" w:name="_Toc324340502"/>
      <w:r>
        <w:rPr>
          <w:sz w:val="20"/>
        </w:rPr>
        <w:t>Since this is an REA measure, the base case cost is zero.</w:t>
      </w:r>
    </w:p>
    <w:p w14:paraId="0674A134" w14:textId="77777777" w:rsidR="00C069A2" w:rsidRDefault="00663A00" w:rsidP="002E0043">
      <w:pPr>
        <w:pStyle w:val="Heading2"/>
        <w:keepNext w:val="0"/>
      </w:pPr>
      <w:bookmarkStart w:id="139" w:name="_Toc491175850"/>
      <w:r>
        <w:t>4.2 Meas</w:t>
      </w:r>
      <w:r w:rsidR="00C069A2">
        <w:t xml:space="preserve">ure </w:t>
      </w:r>
      <w:r w:rsidR="00930877">
        <w:t xml:space="preserve">Case </w:t>
      </w:r>
      <w:r w:rsidR="00C069A2">
        <w:t>Costs</w:t>
      </w:r>
      <w:bookmarkEnd w:id="136"/>
      <w:bookmarkEnd w:id="137"/>
      <w:bookmarkEnd w:id="138"/>
      <w:bookmarkEnd w:id="139"/>
      <w:r w:rsidR="00930877">
        <w:t xml:space="preserve"> </w:t>
      </w:r>
    </w:p>
    <w:p w14:paraId="4358FED0" w14:textId="48A6C17C" w:rsidR="00DD1C47" w:rsidRDefault="000D0CE1" w:rsidP="00F55847">
      <w:pPr>
        <w:rPr>
          <w:rFonts w:cs="Arial"/>
          <w:sz w:val="20"/>
          <w:szCs w:val="20"/>
        </w:rPr>
      </w:pPr>
      <w:r>
        <w:rPr>
          <w:rFonts w:cs="Arial"/>
          <w:sz w:val="20"/>
          <w:szCs w:val="20"/>
        </w:rPr>
        <w:t>The measure case cost is derived by taking an average of project costs from 22 customized projects</w:t>
      </w:r>
      <w:r w:rsidR="00662613">
        <w:rPr>
          <w:rFonts w:cs="Arial"/>
          <w:sz w:val="20"/>
          <w:szCs w:val="20"/>
        </w:rPr>
        <w:t xml:space="preserve"> conducted in SCG’s territory. The costs </w:t>
      </w:r>
      <w:r w:rsidR="00CE3E2A">
        <w:rPr>
          <w:rFonts w:cs="Arial"/>
          <w:sz w:val="20"/>
          <w:szCs w:val="20"/>
        </w:rPr>
        <w:t>were</w:t>
      </w:r>
      <w:r w:rsidR="00662613">
        <w:rPr>
          <w:rFonts w:cs="Arial"/>
          <w:sz w:val="20"/>
          <w:szCs w:val="20"/>
        </w:rPr>
        <w:t xml:space="preserve"> averaged for both the material and labor costs, as they are provided.</w:t>
      </w:r>
      <w:r w:rsidR="00CE3E2A">
        <w:rPr>
          <w:rFonts w:cs="Arial"/>
          <w:sz w:val="20"/>
          <w:szCs w:val="20"/>
        </w:rPr>
        <w:t xml:space="preserve"> These costs can be seen within</w:t>
      </w:r>
      <w:r w:rsidR="00196CFF">
        <w:rPr>
          <w:rFonts w:cs="Arial"/>
          <w:sz w:val="20"/>
          <w:szCs w:val="20"/>
        </w:rPr>
        <w:t xml:space="preserve"> </w:t>
      </w:r>
      <w:r w:rsidR="00196CFF">
        <w:rPr>
          <w:sz w:val="20"/>
        </w:rPr>
        <w:t>“SCG Ozone Laundry Project Data.xlsx”.</w:t>
      </w:r>
    </w:p>
    <w:p w14:paraId="04C30B6B" w14:textId="77777777" w:rsidR="0030550A" w:rsidRDefault="0030550A" w:rsidP="002E0043">
      <w:pPr>
        <w:pStyle w:val="Heading2"/>
        <w:keepNext w:val="0"/>
      </w:pPr>
      <w:bookmarkStart w:id="140" w:name="_Toc304800220"/>
      <w:bookmarkStart w:id="141" w:name="_Toc324318374"/>
      <w:bookmarkStart w:id="142" w:name="_Toc324340503"/>
      <w:bookmarkStart w:id="143" w:name="_Toc491175851"/>
      <w:r>
        <w:t>4.3 Incremental &amp; Full Measure Costs</w:t>
      </w:r>
      <w:bookmarkEnd w:id="140"/>
      <w:bookmarkEnd w:id="141"/>
      <w:bookmarkEnd w:id="142"/>
      <w:bookmarkEnd w:id="143"/>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811090" w:rsidRPr="003F57BD" w14:paraId="31755E88" w14:textId="77777777" w:rsidTr="00B8365C">
        <w:trPr>
          <w:trHeight w:val="255"/>
        </w:trPr>
        <w:tc>
          <w:tcPr>
            <w:tcW w:w="1305" w:type="dxa"/>
            <w:shd w:val="clear" w:color="auto" w:fill="0D0D0D"/>
            <w:noWrap/>
            <w:vAlign w:val="bottom"/>
          </w:tcPr>
          <w:p w14:paraId="4999B8B9" w14:textId="77777777" w:rsidR="00811090" w:rsidRPr="00623BA1" w:rsidRDefault="00811090" w:rsidP="00B8365C">
            <w:pPr>
              <w:jc w:val="center"/>
              <w:rPr>
                <w:rFonts w:cs="Arial"/>
                <w:b/>
                <w:sz w:val="20"/>
                <w:szCs w:val="20"/>
              </w:rPr>
            </w:pPr>
            <w:bookmarkStart w:id="144" w:name="_Toc324318375"/>
            <w:bookmarkStart w:id="145" w:name="_Toc324340504"/>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14:paraId="29507B88" w14:textId="77777777" w:rsidR="00811090" w:rsidRPr="00623BA1" w:rsidRDefault="00811090" w:rsidP="00B8365C">
            <w:pPr>
              <w:jc w:val="center"/>
              <w:rPr>
                <w:rFonts w:cs="Arial"/>
                <w:b/>
                <w:sz w:val="20"/>
                <w:szCs w:val="20"/>
              </w:rPr>
            </w:pPr>
            <w:r>
              <w:rPr>
                <w:rFonts w:cs="Arial"/>
                <w:b/>
                <w:sz w:val="20"/>
                <w:szCs w:val="20"/>
              </w:rPr>
              <w:t>Full</w:t>
            </w:r>
            <w:r w:rsidRPr="00623BA1">
              <w:rPr>
                <w:rFonts w:cs="Arial"/>
                <w:b/>
                <w:sz w:val="20"/>
                <w:szCs w:val="20"/>
              </w:rPr>
              <w:t xml:space="preserve"> Measure Cost</w:t>
            </w:r>
          </w:p>
          <w:p w14:paraId="0F9FE095" w14:textId="77777777" w:rsidR="00811090" w:rsidRPr="00623BA1" w:rsidRDefault="00811090" w:rsidP="00B8365C">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0377753F" w14:textId="77777777" w:rsidR="00811090" w:rsidRPr="00623BA1" w:rsidRDefault="00811090" w:rsidP="00B8365C">
            <w:pPr>
              <w:jc w:val="center"/>
              <w:rPr>
                <w:rFonts w:cs="Arial"/>
                <w:b/>
                <w:sz w:val="20"/>
                <w:szCs w:val="20"/>
              </w:rPr>
            </w:pPr>
            <w:r>
              <w:rPr>
                <w:rFonts w:cs="Arial"/>
                <w:b/>
                <w:sz w:val="20"/>
                <w:szCs w:val="20"/>
              </w:rPr>
              <w:t>Full</w:t>
            </w:r>
            <w:r w:rsidRPr="00623BA1">
              <w:rPr>
                <w:rFonts w:cs="Arial"/>
                <w:b/>
                <w:sz w:val="20"/>
                <w:szCs w:val="20"/>
              </w:rPr>
              <w:t xml:space="preserve"> Measure Cost</w:t>
            </w:r>
          </w:p>
          <w:p w14:paraId="18D99F72" w14:textId="77777777" w:rsidR="00811090" w:rsidRPr="00623BA1" w:rsidRDefault="00811090" w:rsidP="00B8365C">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6FC69CAC" w14:textId="77777777" w:rsidR="00811090" w:rsidRPr="00623BA1" w:rsidRDefault="00811090" w:rsidP="00B8365C">
            <w:pPr>
              <w:jc w:val="center"/>
              <w:rPr>
                <w:rFonts w:cs="Arial"/>
                <w:b/>
                <w:sz w:val="20"/>
                <w:szCs w:val="20"/>
              </w:rPr>
            </w:pPr>
            <w:r w:rsidRPr="00623BA1">
              <w:rPr>
                <w:rFonts w:cs="Arial"/>
                <w:b/>
                <w:sz w:val="20"/>
                <w:szCs w:val="20"/>
              </w:rPr>
              <w:t>Incremental Measure Cost</w:t>
            </w:r>
          </w:p>
        </w:tc>
      </w:tr>
      <w:tr w:rsidR="00811090" w:rsidRPr="003F57BD" w14:paraId="522B5BDE" w14:textId="77777777" w:rsidTr="00B8365C">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22F517D" w14:textId="77777777" w:rsidR="00811090" w:rsidRDefault="00811090" w:rsidP="00B8365C">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C55FDC1" w14:textId="77777777" w:rsidR="00811090" w:rsidRPr="00623BA1" w:rsidRDefault="00811090" w:rsidP="00B8365C">
            <w:pPr>
              <w:jc w:val="center"/>
              <w:rPr>
                <w:rFonts w:cs="Arial"/>
                <w:sz w:val="20"/>
                <w:szCs w:val="20"/>
              </w:rPr>
            </w:pPr>
            <w:r w:rsidRPr="00623BA1">
              <w:rPr>
                <w:rFonts w:cs="Arial"/>
                <w:sz w:val="20"/>
                <w:szCs w:val="20"/>
              </w:rPr>
              <w:t xml:space="preserve">Measure Equipment Cost </w:t>
            </w:r>
          </w:p>
          <w:p w14:paraId="69F4AAAE" w14:textId="77777777" w:rsidR="00811090" w:rsidRPr="00623BA1" w:rsidRDefault="00811090" w:rsidP="00B8365C">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6A44BFAF" w14:textId="77777777" w:rsidR="00811090" w:rsidRPr="00623BA1" w:rsidRDefault="00811090" w:rsidP="00B8365C">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6A7A7AAF" w14:textId="77777777" w:rsidR="00811090" w:rsidRPr="00623BA1" w:rsidRDefault="00811090" w:rsidP="00B8365C">
            <w:pPr>
              <w:jc w:val="center"/>
              <w:rPr>
                <w:rFonts w:cs="Arial"/>
                <w:sz w:val="20"/>
                <w:szCs w:val="20"/>
              </w:rPr>
            </w:pPr>
            <w:r w:rsidRPr="00623BA1">
              <w:rPr>
                <w:rFonts w:cs="Arial"/>
                <w:sz w:val="20"/>
                <w:szCs w:val="20"/>
              </w:rPr>
              <w:t xml:space="preserve">Measure Equipment Cost </w:t>
            </w:r>
          </w:p>
          <w:p w14:paraId="77C16ACE" w14:textId="77777777" w:rsidR="00811090" w:rsidRPr="00623BA1" w:rsidRDefault="00811090" w:rsidP="00B8365C">
            <w:pPr>
              <w:jc w:val="center"/>
              <w:rPr>
                <w:rFonts w:cs="Arial"/>
                <w:sz w:val="20"/>
                <w:szCs w:val="20"/>
              </w:rPr>
            </w:pPr>
            <w:r w:rsidRPr="00623BA1">
              <w:rPr>
                <w:rFonts w:cs="Arial"/>
                <w:sz w:val="20"/>
                <w:szCs w:val="20"/>
              </w:rPr>
              <w:t>– Base Case Equipment Cost</w:t>
            </w:r>
          </w:p>
        </w:tc>
      </w:tr>
    </w:tbl>
    <w:p w14:paraId="40095503" w14:textId="6A10344B" w:rsidR="001E4C31" w:rsidRPr="001E4C31" w:rsidRDefault="00E564BA" w:rsidP="001D51ED">
      <w:pPr>
        <w:pStyle w:val="Heading2"/>
      </w:pPr>
      <w:bookmarkStart w:id="146" w:name="_Toc491175852"/>
      <w:r>
        <w:t>4.3.1 Full</w:t>
      </w:r>
      <w:r w:rsidR="003F57BD" w:rsidRPr="003F57BD">
        <w:t xml:space="preserve"> Measure Cost</w:t>
      </w:r>
      <w:bookmarkEnd w:id="144"/>
      <w:bookmarkEnd w:id="145"/>
      <w:bookmarkEnd w:id="146"/>
    </w:p>
    <w:p w14:paraId="410F2696" w14:textId="77777777"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7D4821CE" w14:textId="77777777" w:rsidR="00F32479" w:rsidRDefault="00F32479" w:rsidP="00F32479">
      <w:pPr>
        <w:rPr>
          <w:rFonts w:cs="Arial"/>
          <w:sz w:val="20"/>
          <w:szCs w:val="20"/>
          <w:highlight w:val="yellow"/>
        </w:rPr>
      </w:pPr>
    </w:p>
    <w:p w14:paraId="5345C975" w14:textId="77777777" w:rsidR="00F32479" w:rsidRPr="00A151EA" w:rsidRDefault="00C95648" w:rsidP="00F32479">
      <w:pPr>
        <w:rPr>
          <w:rFonts w:cs="Arial"/>
          <w:sz w:val="20"/>
          <w:szCs w:val="20"/>
        </w:rPr>
      </w:pPr>
      <w:r>
        <w:rPr>
          <w:rFonts w:cs="Arial"/>
          <w:sz w:val="20"/>
          <w:szCs w:val="20"/>
        </w:rPr>
        <w:t>The</w:t>
      </w:r>
      <w:r w:rsidR="00F32479" w:rsidRPr="00A151EA">
        <w:rPr>
          <w:rFonts w:cs="Arial"/>
          <w:sz w:val="20"/>
          <w:szCs w:val="20"/>
        </w:rPr>
        <w:t xml:space="preserve"> </w:t>
      </w:r>
      <w:r w:rsidR="00A151EA">
        <w:rPr>
          <w:rFonts w:cs="Arial"/>
          <w:sz w:val="20"/>
          <w:szCs w:val="20"/>
        </w:rPr>
        <w:t>Measure Application Types</w:t>
      </w:r>
      <w:r>
        <w:rPr>
          <w:rFonts w:cs="Arial"/>
          <w:sz w:val="20"/>
          <w:szCs w:val="20"/>
        </w:rPr>
        <w:t xml:space="preserve"> </w:t>
      </w:r>
      <w:r w:rsidR="00A151EA">
        <w:rPr>
          <w:rFonts w:cs="Arial"/>
          <w:sz w:val="20"/>
          <w:szCs w:val="20"/>
        </w:rPr>
        <w:t>are</w:t>
      </w:r>
      <w:r w:rsidR="00F32479" w:rsidRPr="00A151EA">
        <w:rPr>
          <w:rFonts w:cs="Arial"/>
          <w:sz w:val="20"/>
          <w:szCs w:val="20"/>
        </w:rPr>
        <w:t xml:space="preserve">: </w:t>
      </w:r>
      <w:r w:rsidR="00F32479" w:rsidRPr="00A151EA">
        <w:rPr>
          <w:rFonts w:cs="Arial"/>
          <w:b/>
          <w:sz w:val="20"/>
          <w:szCs w:val="20"/>
        </w:rPr>
        <w:t>R</w:t>
      </w:r>
      <w:r w:rsidR="000D0CE1">
        <w:rPr>
          <w:rFonts w:cs="Arial"/>
          <w:b/>
          <w:sz w:val="20"/>
          <w:szCs w:val="20"/>
        </w:rPr>
        <w:t>EA</w:t>
      </w:r>
      <w:r w:rsidR="00F32479" w:rsidRPr="00A151EA">
        <w:rPr>
          <w:rFonts w:cs="Arial"/>
          <w:sz w:val="20"/>
          <w:szCs w:val="20"/>
        </w:rPr>
        <w:t xml:space="preserve">, </w:t>
      </w:r>
      <w:r w:rsidR="00E564BA" w:rsidRPr="00A151EA">
        <w:rPr>
          <w:rFonts w:cs="Arial"/>
          <w:sz w:val="20"/>
          <w:szCs w:val="20"/>
        </w:rPr>
        <w:t>so the Full Measure Cost (F</w:t>
      </w:r>
      <w:r w:rsidR="00F32479" w:rsidRPr="00A151EA">
        <w:rPr>
          <w:rFonts w:cs="Arial"/>
          <w:sz w:val="20"/>
          <w:szCs w:val="20"/>
        </w:rPr>
        <w:t>MC) is represented by the equation below:</w:t>
      </w:r>
    </w:p>
    <w:p w14:paraId="374E5D74" w14:textId="77777777" w:rsidR="00F32479" w:rsidRPr="00A151EA" w:rsidRDefault="00F32479" w:rsidP="00F32479">
      <w:pPr>
        <w:rPr>
          <w:rFonts w:cs="Arial"/>
          <w:sz w:val="20"/>
          <w:szCs w:val="20"/>
        </w:rPr>
      </w:pPr>
    </w:p>
    <w:p w14:paraId="5463FDB6" w14:textId="77777777" w:rsidR="00F32479" w:rsidRPr="00A151EA" w:rsidRDefault="00F32479" w:rsidP="00F32479">
      <w:pPr>
        <w:rPr>
          <w:rFonts w:cs="Arial"/>
          <w:sz w:val="20"/>
          <w:szCs w:val="20"/>
        </w:rPr>
      </w:pPr>
    </w:p>
    <w:p w14:paraId="1B090F67" w14:textId="77777777" w:rsidR="00F32479" w:rsidRPr="00A151EA" w:rsidRDefault="00E564BA" w:rsidP="00F32479">
      <w:pPr>
        <w:ind w:firstLine="720"/>
        <w:rPr>
          <w:rFonts w:cs="Arial"/>
          <w:sz w:val="20"/>
          <w:szCs w:val="20"/>
        </w:rPr>
      </w:pPr>
      <w:r w:rsidRPr="00A151EA">
        <w:rPr>
          <w:rFonts w:cs="Arial"/>
          <w:sz w:val="20"/>
          <w:szCs w:val="20"/>
        </w:rPr>
        <w:t>F</w:t>
      </w:r>
      <w:r w:rsidR="00F32479" w:rsidRPr="00A151EA">
        <w:rPr>
          <w:rFonts w:cs="Arial"/>
          <w:sz w:val="20"/>
          <w:szCs w:val="20"/>
        </w:rPr>
        <w:t>MC = (Measure Equipment Cost + Measure Labor Cost) –</w:t>
      </w:r>
    </w:p>
    <w:p w14:paraId="45A0A58E" w14:textId="77777777" w:rsidR="00F32479" w:rsidRPr="00A151EA" w:rsidRDefault="00437BE1" w:rsidP="00F32479">
      <w:pPr>
        <w:ind w:left="720" w:firstLine="720"/>
        <w:rPr>
          <w:rFonts w:cs="Arial"/>
          <w:sz w:val="20"/>
          <w:szCs w:val="20"/>
        </w:rPr>
      </w:pPr>
      <w:r w:rsidRPr="00A151EA">
        <w:rPr>
          <w:rFonts w:cs="Arial"/>
          <w:sz w:val="20"/>
          <w:szCs w:val="20"/>
        </w:rPr>
        <w:t xml:space="preserve"> </w:t>
      </w:r>
      <w:r w:rsidR="00F32479" w:rsidRPr="00A151EA">
        <w:rPr>
          <w:rFonts w:cs="Arial"/>
          <w:sz w:val="20"/>
          <w:szCs w:val="20"/>
        </w:rPr>
        <w:t xml:space="preserve">  (Base Case Equipment Cost + Base Case Labor Cost)</w:t>
      </w:r>
    </w:p>
    <w:p w14:paraId="3EFC08D6" w14:textId="77777777" w:rsidR="00F32479" w:rsidRPr="00A151EA" w:rsidRDefault="00F32479" w:rsidP="00F32479">
      <w:pPr>
        <w:rPr>
          <w:rFonts w:cs="Arial"/>
          <w:b/>
          <w:sz w:val="20"/>
          <w:szCs w:val="20"/>
        </w:rPr>
      </w:pPr>
    </w:p>
    <w:p w14:paraId="65EBC1D2" w14:textId="4B18837A" w:rsidR="00F32479" w:rsidRPr="003F57BD" w:rsidRDefault="00E564BA" w:rsidP="00F32479">
      <w:pPr>
        <w:ind w:firstLine="720"/>
        <w:rPr>
          <w:rFonts w:cs="Arial"/>
          <w:i/>
          <w:sz w:val="20"/>
          <w:szCs w:val="20"/>
        </w:rPr>
      </w:pPr>
      <w:r w:rsidRPr="00A151EA">
        <w:rPr>
          <w:rFonts w:cs="Arial"/>
          <w:i/>
          <w:sz w:val="20"/>
          <w:szCs w:val="20"/>
        </w:rPr>
        <w:t>F</w:t>
      </w:r>
      <w:r w:rsidR="00F32479" w:rsidRPr="00A151EA">
        <w:rPr>
          <w:rFonts w:cs="Arial"/>
          <w:i/>
          <w:sz w:val="20"/>
          <w:szCs w:val="20"/>
        </w:rPr>
        <w:t xml:space="preserve">MC = </w:t>
      </w:r>
      <w:r w:rsidR="00435ABD">
        <w:rPr>
          <w:rFonts w:cs="Arial"/>
          <w:i/>
          <w:sz w:val="20"/>
          <w:szCs w:val="20"/>
        </w:rPr>
        <w:t>(</w:t>
      </w:r>
      <w:r w:rsidR="00F32479" w:rsidRPr="00A151EA">
        <w:rPr>
          <w:rFonts w:cs="Arial"/>
          <w:i/>
          <w:sz w:val="20"/>
          <w:szCs w:val="20"/>
        </w:rPr>
        <w:t>$</w:t>
      </w:r>
      <w:r w:rsidR="00346DC6">
        <w:rPr>
          <w:rFonts w:cs="Arial"/>
          <w:i/>
          <w:sz w:val="20"/>
          <w:szCs w:val="20"/>
        </w:rPr>
        <w:t>129.35</w:t>
      </w:r>
      <w:r w:rsidR="00F32479" w:rsidRPr="00A151EA">
        <w:rPr>
          <w:rFonts w:cs="Arial"/>
          <w:i/>
          <w:sz w:val="20"/>
          <w:szCs w:val="20"/>
        </w:rPr>
        <w:t xml:space="preserve"> per (unit)</w:t>
      </w:r>
      <w:r w:rsidR="00791BBB">
        <w:rPr>
          <w:rFonts w:cs="Arial"/>
          <w:i/>
          <w:sz w:val="20"/>
          <w:szCs w:val="20"/>
        </w:rPr>
        <w:t xml:space="preserve"> + $9.06 per (unit))</w:t>
      </w:r>
      <w:r w:rsidR="00F32479" w:rsidRPr="00A151EA">
        <w:rPr>
          <w:rFonts w:cs="Arial"/>
          <w:i/>
          <w:sz w:val="20"/>
          <w:szCs w:val="20"/>
        </w:rPr>
        <w:t xml:space="preserve"> - </w:t>
      </w:r>
      <w:r w:rsidR="000D0CE1">
        <w:rPr>
          <w:rFonts w:cs="Arial"/>
          <w:i/>
          <w:sz w:val="20"/>
          <w:szCs w:val="20"/>
        </w:rPr>
        <w:t>$0 per (unit) = $</w:t>
      </w:r>
      <w:r w:rsidR="00346DC6">
        <w:rPr>
          <w:rFonts w:cs="Arial"/>
          <w:i/>
          <w:sz w:val="20"/>
          <w:szCs w:val="20"/>
        </w:rPr>
        <w:t>138.41</w:t>
      </w:r>
      <w:r w:rsidR="00F32479" w:rsidRPr="00A151EA">
        <w:rPr>
          <w:rFonts w:cs="Arial"/>
          <w:i/>
          <w:sz w:val="20"/>
          <w:szCs w:val="20"/>
        </w:rPr>
        <w:t xml:space="preserve"> per unit</w:t>
      </w:r>
    </w:p>
    <w:p w14:paraId="20778B74" w14:textId="77777777" w:rsidR="007847B2" w:rsidRDefault="007847B2" w:rsidP="007847B2">
      <w:pPr>
        <w:rPr>
          <w:rFonts w:cs="Arial"/>
          <w:sz w:val="20"/>
          <w:szCs w:val="20"/>
        </w:rPr>
      </w:pPr>
    </w:p>
    <w:p w14:paraId="252DA5C7" w14:textId="77777777" w:rsidR="007847B2" w:rsidRDefault="007847B2" w:rsidP="007847B2">
      <w:pPr>
        <w:rPr>
          <w:rFonts w:cs="Arial"/>
          <w:sz w:val="20"/>
          <w:szCs w:val="20"/>
        </w:rPr>
      </w:pPr>
      <w:r w:rsidRPr="007847B2">
        <w:rPr>
          <w:rFonts w:cs="Arial"/>
          <w:sz w:val="20"/>
          <w:szCs w:val="20"/>
        </w:rPr>
        <w:t>*</w:t>
      </w:r>
      <w:r>
        <w:rPr>
          <w:rFonts w:cs="Arial"/>
          <w:sz w:val="20"/>
          <w:szCs w:val="20"/>
        </w:rPr>
        <w:t xml:space="preserve"> </w:t>
      </w:r>
      <w:r w:rsidRPr="00CE3E2A">
        <w:rPr>
          <w:rFonts w:cs="Arial"/>
          <w:sz w:val="20"/>
          <w:szCs w:val="20"/>
        </w:rPr>
        <w:t xml:space="preserve">The unit is </w:t>
      </w:r>
      <w:r>
        <w:rPr>
          <w:rFonts w:cs="Arial"/>
          <w:sz w:val="20"/>
          <w:szCs w:val="20"/>
        </w:rPr>
        <w:t>pound of washing capacity of washers.</w:t>
      </w:r>
    </w:p>
    <w:p w14:paraId="05AA5120" w14:textId="77777777" w:rsidR="00A47BFE" w:rsidRDefault="001E4C31" w:rsidP="001D51ED">
      <w:pPr>
        <w:pStyle w:val="Heading2"/>
      </w:pPr>
      <w:bookmarkStart w:id="147" w:name="_Toc324318376"/>
      <w:bookmarkStart w:id="148" w:name="_Toc324340505"/>
      <w:bookmarkStart w:id="149" w:name="_Toc491175853"/>
      <w:bookmarkStart w:id="150" w:name="_Toc304800221"/>
      <w:r>
        <w:t xml:space="preserve">4.3.2 </w:t>
      </w:r>
      <w:r w:rsidR="00A47BFE" w:rsidRPr="00A47BFE">
        <w:t>Incremental Measure Costs</w:t>
      </w:r>
      <w:bookmarkEnd w:id="147"/>
      <w:bookmarkEnd w:id="148"/>
      <w:bookmarkEnd w:id="149"/>
    </w:p>
    <w:p w14:paraId="71F6DD30"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26906CDB" w14:textId="77777777" w:rsidR="00ED3B31" w:rsidRDefault="00ED3B31" w:rsidP="00ED3B31">
      <w:pPr>
        <w:rPr>
          <w:rFonts w:cs="Arial"/>
          <w:szCs w:val="22"/>
        </w:rPr>
      </w:pPr>
    </w:p>
    <w:p w14:paraId="0DACCF20" w14:textId="77777777" w:rsidR="00ED3B31" w:rsidRPr="00A151EA" w:rsidRDefault="00A151EA" w:rsidP="00ED3B31">
      <w:pPr>
        <w:rPr>
          <w:rFonts w:cs="Arial"/>
          <w:sz w:val="20"/>
          <w:szCs w:val="20"/>
        </w:rPr>
      </w:pPr>
      <w:r>
        <w:rPr>
          <w:rFonts w:cs="Arial"/>
          <w:sz w:val="20"/>
          <w:szCs w:val="20"/>
        </w:rPr>
        <w:t>The</w:t>
      </w:r>
      <w:r w:rsidR="00ED3B31" w:rsidRPr="00A151EA">
        <w:rPr>
          <w:rFonts w:cs="Arial"/>
          <w:sz w:val="20"/>
          <w:szCs w:val="20"/>
        </w:rPr>
        <w:t xml:space="preserve"> </w:t>
      </w:r>
      <w:r w:rsidR="002E6162" w:rsidRPr="00A151EA">
        <w:rPr>
          <w:rFonts w:cs="Arial"/>
          <w:sz w:val="20"/>
          <w:szCs w:val="20"/>
        </w:rPr>
        <w:t>Measure Application Type</w:t>
      </w:r>
      <w:r w:rsidR="009D339D">
        <w:rPr>
          <w:rFonts w:cs="Arial"/>
          <w:sz w:val="20"/>
          <w:szCs w:val="20"/>
        </w:rPr>
        <w:t xml:space="preserve"> is </w:t>
      </w:r>
      <w:r w:rsidR="000D0CE1">
        <w:rPr>
          <w:rFonts w:cs="Arial"/>
          <w:b/>
          <w:sz w:val="20"/>
          <w:szCs w:val="20"/>
        </w:rPr>
        <w:t>REA</w:t>
      </w:r>
      <w:r w:rsidR="00ED3B31" w:rsidRPr="00A151EA">
        <w:rPr>
          <w:rFonts w:cs="Arial"/>
          <w:b/>
          <w:sz w:val="20"/>
          <w:szCs w:val="20"/>
        </w:rPr>
        <w:t xml:space="preserve"> </w:t>
      </w:r>
      <w:r w:rsidR="00ED3B31" w:rsidRPr="00A151EA">
        <w:rPr>
          <w:rFonts w:cs="Arial"/>
          <w:sz w:val="20"/>
          <w:szCs w:val="20"/>
        </w:rPr>
        <w:t xml:space="preserve">so the </w:t>
      </w:r>
      <w:r w:rsidR="00BA3B71">
        <w:rPr>
          <w:rFonts w:cs="Arial"/>
          <w:sz w:val="20"/>
          <w:szCs w:val="20"/>
        </w:rPr>
        <w:t>Incremental</w:t>
      </w:r>
      <w:r w:rsidR="009D339D">
        <w:rPr>
          <w:rFonts w:cs="Arial"/>
          <w:sz w:val="20"/>
          <w:szCs w:val="20"/>
        </w:rPr>
        <w:t xml:space="preserve"> Measure Cost (I</w:t>
      </w:r>
      <w:r w:rsidR="00ED3B31" w:rsidRPr="00A151EA">
        <w:rPr>
          <w:rFonts w:cs="Arial"/>
          <w:sz w:val="20"/>
          <w:szCs w:val="20"/>
        </w:rPr>
        <w:t xml:space="preserve">MC) is represented by the </w:t>
      </w:r>
      <w:r w:rsidR="00192B77" w:rsidRPr="00A151EA">
        <w:rPr>
          <w:rFonts w:cs="Arial"/>
          <w:sz w:val="20"/>
          <w:szCs w:val="20"/>
        </w:rPr>
        <w:t xml:space="preserve">appropriate </w:t>
      </w:r>
      <w:r w:rsidR="00ED3B31" w:rsidRPr="00A151EA">
        <w:rPr>
          <w:rFonts w:cs="Arial"/>
          <w:sz w:val="20"/>
          <w:szCs w:val="20"/>
        </w:rPr>
        <w:t>equation below:</w:t>
      </w:r>
    </w:p>
    <w:p w14:paraId="3992AFA1" w14:textId="77777777" w:rsidR="00ED3B31" w:rsidRPr="00A151EA" w:rsidRDefault="00ED3B31" w:rsidP="00ED3B31">
      <w:pPr>
        <w:rPr>
          <w:rFonts w:cs="Arial"/>
          <w:szCs w:val="22"/>
        </w:rPr>
      </w:pPr>
    </w:p>
    <w:p w14:paraId="4B688562" w14:textId="77777777" w:rsidR="00ED3B31" w:rsidRPr="00A151EA" w:rsidRDefault="00ED3B31" w:rsidP="00ED3B31">
      <w:pPr>
        <w:ind w:firstLine="720"/>
        <w:rPr>
          <w:rFonts w:cs="Arial"/>
          <w:sz w:val="20"/>
          <w:szCs w:val="20"/>
        </w:rPr>
      </w:pPr>
      <w:r w:rsidRPr="00A151EA">
        <w:rPr>
          <w:rFonts w:cs="Arial"/>
          <w:sz w:val="20"/>
          <w:szCs w:val="20"/>
        </w:rPr>
        <w:t>IMC = (Measure Equipment Cost + Measure Labor Cost) –</w:t>
      </w:r>
    </w:p>
    <w:p w14:paraId="03D1EEE6" w14:textId="77777777" w:rsidR="00ED3B31" w:rsidRPr="00A151EA" w:rsidRDefault="00ED3B31" w:rsidP="00ED3B31">
      <w:pPr>
        <w:ind w:left="720" w:firstLine="720"/>
        <w:rPr>
          <w:rFonts w:cs="Arial"/>
          <w:sz w:val="20"/>
          <w:szCs w:val="20"/>
        </w:rPr>
      </w:pPr>
      <w:r w:rsidRPr="00A151EA">
        <w:rPr>
          <w:rFonts w:cs="Arial"/>
          <w:sz w:val="20"/>
          <w:szCs w:val="20"/>
        </w:rPr>
        <w:t xml:space="preserve">    (Base Case Equipment Cost + Base Case Labor Cost)</w:t>
      </w:r>
    </w:p>
    <w:p w14:paraId="27C6AF6B" w14:textId="77777777" w:rsidR="00ED3B31" w:rsidRPr="00A151EA" w:rsidRDefault="00ED3B31" w:rsidP="00ED3B31">
      <w:pPr>
        <w:rPr>
          <w:rFonts w:cs="Arial"/>
          <w:b/>
          <w:szCs w:val="22"/>
        </w:rPr>
      </w:pPr>
    </w:p>
    <w:p w14:paraId="0C4468C0" w14:textId="02A6AE0E" w:rsidR="00ED3B31" w:rsidRPr="00C95648" w:rsidRDefault="00ED3B31" w:rsidP="00C95648">
      <w:pPr>
        <w:ind w:firstLine="720"/>
        <w:rPr>
          <w:rFonts w:cs="Arial"/>
          <w:i/>
          <w:sz w:val="20"/>
          <w:szCs w:val="20"/>
        </w:rPr>
      </w:pPr>
      <w:r w:rsidRPr="00A151EA">
        <w:rPr>
          <w:rFonts w:cs="Arial"/>
          <w:i/>
          <w:sz w:val="20"/>
          <w:szCs w:val="20"/>
        </w:rPr>
        <w:t xml:space="preserve">IMC </w:t>
      </w:r>
      <w:r w:rsidR="00791BBB" w:rsidRPr="00A151EA">
        <w:rPr>
          <w:rFonts w:cs="Arial"/>
          <w:i/>
          <w:sz w:val="20"/>
          <w:szCs w:val="20"/>
        </w:rPr>
        <w:t xml:space="preserve">= </w:t>
      </w:r>
      <w:r w:rsidR="00791BBB">
        <w:rPr>
          <w:rFonts w:cs="Arial"/>
          <w:i/>
          <w:sz w:val="20"/>
          <w:szCs w:val="20"/>
        </w:rPr>
        <w:t>(</w:t>
      </w:r>
      <w:r w:rsidR="00791BBB" w:rsidRPr="00A151EA">
        <w:rPr>
          <w:rFonts w:cs="Arial"/>
          <w:i/>
          <w:sz w:val="20"/>
          <w:szCs w:val="20"/>
        </w:rPr>
        <w:t>$</w:t>
      </w:r>
      <w:r w:rsidR="00346DC6">
        <w:rPr>
          <w:rFonts w:cs="Arial"/>
          <w:i/>
          <w:sz w:val="20"/>
          <w:szCs w:val="20"/>
        </w:rPr>
        <w:t>129.35</w:t>
      </w:r>
      <w:r w:rsidR="00791BBB" w:rsidRPr="00A151EA">
        <w:rPr>
          <w:rFonts w:cs="Arial"/>
          <w:i/>
          <w:sz w:val="20"/>
          <w:szCs w:val="20"/>
        </w:rPr>
        <w:t xml:space="preserve"> per (unit)</w:t>
      </w:r>
      <w:r w:rsidR="00791BBB">
        <w:rPr>
          <w:rFonts w:cs="Arial"/>
          <w:i/>
          <w:sz w:val="20"/>
          <w:szCs w:val="20"/>
        </w:rPr>
        <w:t xml:space="preserve"> + $9.06 per (unit))</w:t>
      </w:r>
      <w:r w:rsidR="00791BBB" w:rsidRPr="00A151EA">
        <w:rPr>
          <w:rFonts w:cs="Arial"/>
          <w:i/>
          <w:sz w:val="20"/>
          <w:szCs w:val="20"/>
        </w:rPr>
        <w:t xml:space="preserve"> - </w:t>
      </w:r>
      <w:r w:rsidR="00346DC6">
        <w:rPr>
          <w:rFonts w:cs="Arial"/>
          <w:i/>
          <w:sz w:val="20"/>
          <w:szCs w:val="20"/>
        </w:rPr>
        <w:t>$0 per (unit) = $138.41</w:t>
      </w:r>
      <w:r w:rsidR="00791BBB" w:rsidRPr="00A151EA">
        <w:rPr>
          <w:rFonts w:cs="Arial"/>
          <w:i/>
          <w:sz w:val="20"/>
          <w:szCs w:val="20"/>
        </w:rPr>
        <w:t xml:space="preserve"> per unit</w:t>
      </w:r>
    </w:p>
    <w:p w14:paraId="37734F2A" w14:textId="77777777" w:rsidR="002F3610" w:rsidRDefault="002F3610" w:rsidP="00ED3B31">
      <w:pPr>
        <w:ind w:firstLine="720"/>
        <w:rPr>
          <w:rFonts w:cs="Arial"/>
          <w:i/>
          <w:sz w:val="20"/>
          <w:szCs w:val="20"/>
        </w:rPr>
      </w:pPr>
    </w:p>
    <w:p w14:paraId="5DB0C7B0"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6287FAA2" w14:textId="77777777" w:rsidTr="00A01631">
        <w:tc>
          <w:tcPr>
            <w:tcW w:w="758" w:type="pct"/>
            <w:shd w:val="clear" w:color="auto" w:fill="auto"/>
          </w:tcPr>
          <w:p w14:paraId="61E98513"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56A31772"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49C75FAF"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00AE8C4D"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3"/>
            </w:r>
          </w:p>
        </w:tc>
        <w:tc>
          <w:tcPr>
            <w:tcW w:w="737" w:type="pct"/>
            <w:shd w:val="clear" w:color="auto" w:fill="auto"/>
          </w:tcPr>
          <w:p w14:paraId="67E910DC" w14:textId="7777777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7338BBC2"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791BBB" w:rsidRPr="00A01631" w14:paraId="07F04411" w14:textId="77777777" w:rsidTr="00A01631">
        <w:tc>
          <w:tcPr>
            <w:tcW w:w="758" w:type="pct"/>
            <w:shd w:val="clear" w:color="auto" w:fill="auto"/>
          </w:tcPr>
          <w:p w14:paraId="15A70E1E" w14:textId="77777777" w:rsidR="00791BBB" w:rsidRPr="00A151EA" w:rsidRDefault="00791BBB" w:rsidP="00791BBB">
            <w:pPr>
              <w:rPr>
                <w:rFonts w:cs="Arial"/>
                <w:sz w:val="20"/>
                <w:szCs w:val="20"/>
              </w:rPr>
            </w:pPr>
            <w:r w:rsidRPr="00A151EA">
              <w:rPr>
                <w:rFonts w:cs="Arial"/>
                <w:sz w:val="20"/>
                <w:szCs w:val="20"/>
              </w:rPr>
              <w:t>B85</w:t>
            </w:r>
          </w:p>
        </w:tc>
        <w:tc>
          <w:tcPr>
            <w:tcW w:w="968" w:type="pct"/>
            <w:shd w:val="clear" w:color="auto" w:fill="auto"/>
          </w:tcPr>
          <w:p w14:paraId="44D552A4" w14:textId="77777777" w:rsidR="00791BBB" w:rsidRPr="00A151EA" w:rsidRDefault="00791BBB" w:rsidP="00791BBB">
            <w:pPr>
              <w:rPr>
                <w:rFonts w:cs="Arial"/>
                <w:b/>
                <w:sz w:val="20"/>
                <w:szCs w:val="20"/>
              </w:rPr>
            </w:pPr>
            <w:r>
              <w:rPr>
                <w:rFonts w:cs="Arial"/>
                <w:sz w:val="20"/>
                <w:szCs w:val="20"/>
              </w:rPr>
              <w:t>REA</w:t>
            </w:r>
          </w:p>
        </w:tc>
        <w:tc>
          <w:tcPr>
            <w:tcW w:w="838" w:type="pct"/>
            <w:shd w:val="clear" w:color="auto" w:fill="auto"/>
          </w:tcPr>
          <w:p w14:paraId="46D02AD4" w14:textId="77777777" w:rsidR="00791BBB" w:rsidRPr="00A151EA" w:rsidRDefault="00791BBB" w:rsidP="00791BBB">
            <w:pPr>
              <w:rPr>
                <w:rFonts w:cs="Arial"/>
                <w:sz w:val="20"/>
                <w:szCs w:val="20"/>
              </w:rPr>
            </w:pPr>
            <w:r w:rsidRPr="00A151EA">
              <w:rPr>
                <w:rFonts w:cs="Arial"/>
                <w:sz w:val="20"/>
                <w:szCs w:val="20"/>
              </w:rPr>
              <w:t>$0</w:t>
            </w:r>
          </w:p>
        </w:tc>
        <w:tc>
          <w:tcPr>
            <w:tcW w:w="739" w:type="pct"/>
            <w:shd w:val="clear" w:color="auto" w:fill="auto"/>
          </w:tcPr>
          <w:p w14:paraId="3B07EB45" w14:textId="7F770B70" w:rsidR="00791BBB" w:rsidRPr="00A151EA" w:rsidRDefault="00791BBB" w:rsidP="00791BBB">
            <w:pPr>
              <w:rPr>
                <w:rFonts w:cs="Arial"/>
                <w:sz w:val="20"/>
                <w:szCs w:val="20"/>
              </w:rPr>
            </w:pPr>
            <w:r>
              <w:rPr>
                <w:rFonts w:cs="Arial"/>
                <w:sz w:val="20"/>
                <w:szCs w:val="20"/>
              </w:rPr>
              <w:t>$13</w:t>
            </w:r>
            <w:r w:rsidR="00346DC6">
              <w:rPr>
                <w:rFonts w:cs="Arial"/>
                <w:sz w:val="20"/>
                <w:szCs w:val="20"/>
              </w:rPr>
              <w:t>8.41</w:t>
            </w:r>
          </w:p>
        </w:tc>
        <w:tc>
          <w:tcPr>
            <w:tcW w:w="737" w:type="pct"/>
            <w:shd w:val="clear" w:color="auto" w:fill="auto"/>
          </w:tcPr>
          <w:p w14:paraId="39D99141" w14:textId="09B5E57A" w:rsidR="00791BBB" w:rsidRPr="00A151EA" w:rsidRDefault="00346DC6" w:rsidP="00791BBB">
            <w:pPr>
              <w:rPr>
                <w:rFonts w:cs="Arial"/>
                <w:sz w:val="20"/>
                <w:szCs w:val="20"/>
              </w:rPr>
            </w:pPr>
            <w:r>
              <w:rPr>
                <w:rFonts w:cs="Arial"/>
                <w:sz w:val="20"/>
                <w:szCs w:val="20"/>
              </w:rPr>
              <w:t>$138.41</w:t>
            </w:r>
          </w:p>
        </w:tc>
        <w:tc>
          <w:tcPr>
            <w:tcW w:w="960" w:type="pct"/>
            <w:shd w:val="clear" w:color="auto" w:fill="auto"/>
          </w:tcPr>
          <w:p w14:paraId="6AA6469F" w14:textId="1E4F6C7E" w:rsidR="00791BBB" w:rsidRPr="00A151EA" w:rsidRDefault="00346DC6" w:rsidP="00791BBB">
            <w:pPr>
              <w:rPr>
                <w:rFonts w:cs="Arial"/>
                <w:sz w:val="20"/>
                <w:szCs w:val="20"/>
              </w:rPr>
            </w:pPr>
            <w:r>
              <w:rPr>
                <w:rFonts w:cs="Arial"/>
                <w:sz w:val="20"/>
                <w:szCs w:val="20"/>
              </w:rPr>
              <w:t>$138.41</w:t>
            </w:r>
          </w:p>
        </w:tc>
      </w:tr>
    </w:tbl>
    <w:p w14:paraId="276FEEC8" w14:textId="77777777" w:rsidR="00315AB7" w:rsidRPr="005D61BC" w:rsidRDefault="00315AB7" w:rsidP="005D61BC">
      <w:pPr>
        <w:rPr>
          <w:rStyle w:val="Strong"/>
          <w:rFonts w:cs="Arial"/>
          <w:b w:val="0"/>
          <w:bCs w:val="0"/>
          <w:kern w:val="32"/>
          <w:sz w:val="24"/>
          <w:szCs w:val="32"/>
        </w:rPr>
        <w:sectPr w:rsidR="00315AB7" w:rsidRPr="005D61BC" w:rsidSect="00481F63">
          <w:endnotePr>
            <w:numFmt w:val="decimal"/>
          </w:endnotePr>
          <w:pgSz w:w="12240" w:h="15840"/>
          <w:pgMar w:top="1440" w:right="1440" w:bottom="1440" w:left="1440" w:header="720" w:footer="720" w:gutter="0"/>
          <w:pgNumType w:start="1"/>
          <w:cols w:space="720"/>
          <w:docGrid w:linePitch="360"/>
        </w:sectPr>
      </w:pPr>
      <w:bookmarkStart w:id="154" w:name="_MON_1382719630"/>
      <w:bookmarkEnd w:id="150"/>
      <w:bookmarkEnd w:id="154"/>
    </w:p>
    <w:p w14:paraId="0C2847C0" w14:textId="77777777" w:rsidR="009168A1" w:rsidRPr="000966CC" w:rsidRDefault="000966CC" w:rsidP="00EF7008">
      <w:pPr>
        <w:pStyle w:val="Heading1"/>
      </w:pPr>
      <w:bookmarkStart w:id="155" w:name="_Toc324318383"/>
      <w:bookmarkStart w:id="156" w:name="_Toc324340513"/>
      <w:bookmarkStart w:id="157" w:name="_Toc491175854"/>
      <w:bookmarkStart w:id="158" w:name="_Toc304800222"/>
      <w:r>
        <w:lastRenderedPageBreak/>
        <w:t>References</w:t>
      </w:r>
      <w:bookmarkEnd w:id="155"/>
      <w:bookmarkEnd w:id="156"/>
      <w:bookmarkEnd w:id="157"/>
      <w:r w:rsidR="00844B27">
        <w:t xml:space="preserve"> </w:t>
      </w:r>
      <w:bookmarkEnd w:id="158"/>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55431B" w15:done="0"/>
  <w15:commentEx w15:paraId="58E840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298A4" w14:textId="77777777" w:rsidR="007C4CAE" w:rsidRDefault="007C4CAE">
      <w:r>
        <w:separator/>
      </w:r>
    </w:p>
    <w:p w14:paraId="4526C2F0" w14:textId="77777777" w:rsidR="007C4CAE" w:rsidRDefault="007C4CAE"/>
  </w:endnote>
  <w:endnote w:type="continuationSeparator" w:id="0">
    <w:p w14:paraId="638345AD" w14:textId="77777777" w:rsidR="007C4CAE" w:rsidRDefault="007C4CAE">
      <w:r>
        <w:continuationSeparator/>
      </w:r>
    </w:p>
    <w:p w14:paraId="3E14E879" w14:textId="77777777" w:rsidR="007C4CAE" w:rsidRDefault="007C4CAE"/>
  </w:endnote>
  <w:endnote w:id="1">
    <w:p w14:paraId="31F03786" w14:textId="77777777" w:rsidR="00A8378F" w:rsidRPr="00C95648" w:rsidRDefault="00A8378F" w:rsidP="00C95648">
      <w:pPr>
        <w:pStyle w:val="EndnoteText"/>
        <w:spacing w:after="120"/>
      </w:pPr>
      <w:r w:rsidRPr="00EF7008">
        <w:rPr>
          <w:rStyle w:val="EndnoteReference"/>
        </w:rPr>
        <w:endnoteRef/>
      </w:r>
      <w:r w:rsidRPr="00EF7008">
        <w:t xml:space="preserve"> California Public Utilities Commission (CPUC), Database for Energy Efficient Resources (DEER) v. 2014, Table Name: </w:t>
      </w:r>
      <w:r w:rsidRPr="00EF7008">
        <w:rPr>
          <w:i/>
        </w:rPr>
        <w:t>NTGR</w:t>
      </w:r>
      <w:r w:rsidRPr="00EF7008">
        <w:t xml:space="preserve">, NTG_ID: </w:t>
      </w:r>
      <w:r w:rsidRPr="00EF7008">
        <w:rPr>
          <w:i/>
        </w:rPr>
        <w:t>Com-Default&gt;2yrs</w:t>
      </w:r>
      <w:r w:rsidRPr="00EF7008">
        <w:t xml:space="preserve">, extracted from READI_v1.0.4.zip, downloaded from </w:t>
      </w:r>
      <w:hyperlink r:id="rId1" w:history="1">
        <w:r w:rsidRPr="00C95648">
          <w:rPr>
            <w:rStyle w:val="Hyperlink"/>
          </w:rPr>
          <w:t>www.deeresources.com</w:t>
        </w:r>
      </w:hyperlink>
      <w:r w:rsidRPr="00C95648">
        <w:t>.</w:t>
      </w:r>
    </w:p>
  </w:endnote>
  <w:endnote w:id="2">
    <w:p w14:paraId="678ECEC4" w14:textId="77777777" w:rsidR="00A8378F" w:rsidRPr="00EF7008" w:rsidRDefault="00A8378F" w:rsidP="00C95648">
      <w:pPr>
        <w:ind w:left="540" w:hanging="540"/>
        <w:rPr>
          <w:sz w:val="20"/>
          <w:szCs w:val="20"/>
        </w:rPr>
      </w:pPr>
      <w:r w:rsidRPr="00C95648">
        <w:rPr>
          <w:rStyle w:val="EndnoteReference"/>
          <w:sz w:val="20"/>
          <w:szCs w:val="20"/>
        </w:rPr>
        <w:endnoteRef/>
      </w:r>
      <w:r w:rsidRPr="00C95648">
        <w:rPr>
          <w:sz w:val="20"/>
          <w:szCs w:val="20"/>
        </w:rPr>
        <w:t xml:space="preserve"> "Lodging Report",  December 2008</w:t>
      </w:r>
      <w:r w:rsidRPr="00EF7008">
        <w:rPr>
          <w:sz w:val="20"/>
          <w:szCs w:val="20"/>
        </w:rPr>
        <w:t xml:space="preserve">, California Travel &amp; Tourism Commission, </w:t>
      </w:r>
      <w:hyperlink r:id="rId2" w:history="1">
        <w:r w:rsidRPr="00EF7008">
          <w:rPr>
            <w:rStyle w:val="Hyperlink"/>
            <w:sz w:val="20"/>
            <w:szCs w:val="20"/>
          </w:rPr>
          <w:t>http://tourism.visitcalifornia.com/media/uploads/files/editor/Research/CaliforniaTourism_200812.pdf</w:t>
        </w:r>
      </w:hyperlink>
    </w:p>
    <w:p w14:paraId="6C9F3328" w14:textId="77777777" w:rsidR="00A8378F" w:rsidRPr="00EF7008" w:rsidRDefault="00A8378F" w:rsidP="001245B8">
      <w:pPr>
        <w:ind w:left="540" w:hanging="540"/>
        <w:rPr>
          <w:sz w:val="20"/>
          <w:szCs w:val="20"/>
        </w:rPr>
      </w:pPr>
    </w:p>
  </w:endnote>
  <w:endnote w:id="3">
    <w:p w14:paraId="327A6C56" w14:textId="77777777" w:rsidR="00A8378F" w:rsidRPr="00EF7008" w:rsidRDefault="00A8378F" w:rsidP="001245B8">
      <w:pPr>
        <w:ind w:left="540" w:hanging="540"/>
        <w:rPr>
          <w:sz w:val="20"/>
          <w:szCs w:val="20"/>
        </w:rPr>
      </w:pPr>
      <w:r w:rsidRPr="00465C5F">
        <w:rPr>
          <w:rStyle w:val="EndnoteReference"/>
        </w:rPr>
        <w:endnoteRef/>
      </w:r>
      <w:r>
        <w:rPr>
          <w:sz w:val="20"/>
          <w:szCs w:val="20"/>
        </w:rPr>
        <w:t xml:space="preserve"> </w:t>
      </w:r>
      <w:r w:rsidRPr="00EF7008">
        <w:rPr>
          <w:sz w:val="20"/>
          <w:szCs w:val="20"/>
        </w:rPr>
        <w:t xml:space="preserve">"Health, United States, 2008" Table 120, U.S. Department of Health &amp; Human Services, Centers for Disease Control &amp; Prevention, National Center for Health Statistics, </w:t>
      </w:r>
      <w:hyperlink r:id="rId3" w:anchor="120" w:history="1">
        <w:r w:rsidRPr="00EF7008">
          <w:rPr>
            <w:rStyle w:val="Hyperlink"/>
            <w:sz w:val="20"/>
            <w:szCs w:val="20"/>
          </w:rPr>
          <w:t>http://www.cdc.gov/nchs/data/hus/hus08.pdf#120</w:t>
        </w:r>
      </w:hyperlink>
    </w:p>
    <w:p w14:paraId="1D9ADAD0" w14:textId="77777777" w:rsidR="00A8378F" w:rsidRPr="00EF7008" w:rsidRDefault="00A8378F" w:rsidP="001245B8">
      <w:pPr>
        <w:ind w:left="540" w:hanging="540"/>
        <w:rPr>
          <w:sz w:val="20"/>
          <w:szCs w:val="20"/>
        </w:rPr>
      </w:pPr>
    </w:p>
  </w:endnote>
  <w:endnote w:id="4">
    <w:p w14:paraId="58C9208C" w14:textId="77777777" w:rsidR="00A8378F" w:rsidRPr="00EF7008" w:rsidRDefault="00A8378F" w:rsidP="001245B8">
      <w:pPr>
        <w:ind w:left="540" w:hanging="540"/>
        <w:rPr>
          <w:sz w:val="20"/>
          <w:szCs w:val="20"/>
        </w:rPr>
      </w:pPr>
      <w:r w:rsidRPr="00465C5F">
        <w:rPr>
          <w:rStyle w:val="EndnoteReference"/>
        </w:rPr>
        <w:endnoteRef/>
      </w:r>
      <w:r w:rsidRPr="00EF7008">
        <w:rPr>
          <w:sz w:val="20"/>
          <w:szCs w:val="20"/>
        </w:rPr>
        <w:t xml:space="preserve"> </w:t>
      </w:r>
      <w:hyperlink r:id="rId4" w:history="1">
        <w:r w:rsidRPr="00EF7008">
          <w:rPr>
            <w:sz w:val="20"/>
            <w:szCs w:val="20"/>
          </w:rPr>
          <w:t>Fourth Quarter 2008 Facts and Fictures, California Department of Corrections &amp; Rehabilitation (CDCR)</w:t>
        </w:r>
      </w:hyperlink>
      <w:r w:rsidRPr="00EF7008">
        <w:rPr>
          <w:sz w:val="20"/>
          <w:szCs w:val="20"/>
        </w:rPr>
        <w:t xml:space="preserve">, </w:t>
      </w:r>
      <w:hyperlink r:id="rId5" w:history="1">
        <w:r w:rsidRPr="00EF7008">
          <w:rPr>
            <w:rStyle w:val="Hyperlink"/>
            <w:sz w:val="20"/>
            <w:szCs w:val="20"/>
          </w:rPr>
          <w:t>http://www.cdcr.ca.gov/Divisions_Boards/Adult_Operations/docs/Fourth_Quarter_2008_Facts_and_Figures.pdf</w:t>
        </w:r>
      </w:hyperlink>
    </w:p>
    <w:p w14:paraId="36F28389" w14:textId="77777777" w:rsidR="00A8378F" w:rsidRPr="00EF7008" w:rsidRDefault="00A8378F" w:rsidP="001245B8">
      <w:pPr>
        <w:ind w:left="540" w:hanging="540"/>
        <w:rPr>
          <w:sz w:val="20"/>
          <w:szCs w:val="20"/>
        </w:rPr>
      </w:pPr>
    </w:p>
  </w:endnote>
  <w:endnote w:id="5">
    <w:p w14:paraId="10ACEF19" w14:textId="77777777" w:rsidR="00A8378F" w:rsidRPr="00EF7008" w:rsidRDefault="00A8378F" w:rsidP="001245B8">
      <w:pPr>
        <w:ind w:left="540" w:hanging="540"/>
        <w:rPr>
          <w:sz w:val="20"/>
          <w:szCs w:val="20"/>
        </w:rPr>
      </w:pPr>
      <w:r w:rsidRPr="00465C5F">
        <w:rPr>
          <w:rStyle w:val="EndnoteReference"/>
        </w:rPr>
        <w:endnoteRef/>
      </w:r>
      <w:r w:rsidRPr="00EF7008">
        <w:rPr>
          <w:sz w:val="20"/>
          <w:szCs w:val="20"/>
        </w:rPr>
        <w:t xml:space="preserve"> </w:t>
      </w:r>
      <w:hyperlink r:id="rId6" w:history="1">
        <w:r w:rsidRPr="00EF7008">
          <w:rPr>
            <w:sz w:val="20"/>
            <w:szCs w:val="20"/>
          </w:rPr>
          <w:t>Jail Profile Survey (2008), California Department of Corrections &amp; Rehabilitation (CDCR)</w:t>
        </w:r>
      </w:hyperlink>
      <w:r w:rsidRPr="00EF7008">
        <w:rPr>
          <w:sz w:val="20"/>
          <w:szCs w:val="20"/>
        </w:rPr>
        <w:t xml:space="preserve">, </w:t>
      </w:r>
      <w:hyperlink r:id="rId7" w:history="1">
        <w:r w:rsidRPr="00EF7008">
          <w:rPr>
            <w:rStyle w:val="Hyperlink"/>
            <w:sz w:val="20"/>
            <w:szCs w:val="20"/>
          </w:rPr>
          <w:t>http://www.cdcr.ca.gov/Divisions_Boards/CSA/FSO/Docs/2008_4th_Qtr_JPS_full_report.pdf</w:t>
        </w:r>
      </w:hyperlink>
    </w:p>
    <w:p w14:paraId="555D3AC4" w14:textId="77777777" w:rsidR="00A8378F" w:rsidRPr="00EF7008" w:rsidRDefault="00A8378F" w:rsidP="001245B8">
      <w:pPr>
        <w:ind w:left="540" w:hanging="540"/>
        <w:rPr>
          <w:sz w:val="20"/>
          <w:szCs w:val="20"/>
        </w:rPr>
      </w:pPr>
    </w:p>
  </w:endnote>
  <w:endnote w:id="6">
    <w:p w14:paraId="74A4633E" w14:textId="77777777" w:rsidR="00A8378F" w:rsidRPr="00EF7008" w:rsidRDefault="00A8378F" w:rsidP="001245B8">
      <w:pPr>
        <w:ind w:left="540" w:hanging="540"/>
        <w:rPr>
          <w:sz w:val="20"/>
          <w:szCs w:val="20"/>
        </w:rPr>
      </w:pPr>
      <w:r w:rsidRPr="00465C5F">
        <w:rPr>
          <w:rStyle w:val="EndnoteReference"/>
        </w:rPr>
        <w:endnoteRef/>
      </w:r>
      <w:r>
        <w:rPr>
          <w:sz w:val="20"/>
          <w:szCs w:val="20"/>
        </w:rPr>
        <w:t xml:space="preserve"> </w:t>
      </w:r>
      <w:r w:rsidRPr="00EF7008">
        <w:rPr>
          <w:sz w:val="20"/>
          <w:szCs w:val="20"/>
        </w:rPr>
        <w:t>Ozone in Laundry Facilities, Prepared by Global Energy Partners, LLC / 02 April 2007</w:t>
      </w:r>
    </w:p>
    <w:p w14:paraId="61802CE5" w14:textId="77777777" w:rsidR="00A8378F" w:rsidRPr="00EF7008" w:rsidRDefault="00A8378F" w:rsidP="001245B8">
      <w:pPr>
        <w:pStyle w:val="EndnoteText"/>
      </w:pPr>
    </w:p>
  </w:endnote>
  <w:endnote w:id="7">
    <w:p w14:paraId="0D473246" w14:textId="77777777" w:rsidR="00A8378F" w:rsidRDefault="00A8378F">
      <w:pPr>
        <w:pStyle w:val="EndnoteText"/>
        <w:rPr>
          <w:rFonts w:cs="Arial"/>
          <w:i/>
        </w:rPr>
      </w:pPr>
      <w:r w:rsidRPr="00EF7008">
        <w:rPr>
          <w:rStyle w:val="EndnoteReference"/>
        </w:rPr>
        <w:endnoteRef/>
      </w:r>
      <w:r w:rsidRPr="00EF7008">
        <w:t xml:space="preserve"> </w:t>
      </w:r>
      <w:r w:rsidRPr="00EF7008">
        <w:rPr>
          <w:rFonts w:cs="Arial"/>
        </w:rPr>
        <w:t xml:space="preserve">The DEER Measure Cost Data Users Guide found on </w:t>
      </w:r>
      <w:hyperlink r:id="rId8" w:history="1">
        <w:r w:rsidRPr="00EF7008">
          <w:rPr>
            <w:rStyle w:val="Hyperlink"/>
            <w:rFonts w:cs="Arial"/>
          </w:rPr>
          <w:t>www.deeresources.com</w:t>
        </w:r>
      </w:hyperlink>
      <w:r w:rsidRPr="00EF7008">
        <w:rPr>
          <w:rFonts w:cs="Arial"/>
        </w:rPr>
        <w:t xml:space="preserve"> under </w:t>
      </w:r>
      <w:r w:rsidRPr="00EF7008">
        <w:rPr>
          <w:rFonts w:cs="Arial"/>
          <w:i/>
        </w:rPr>
        <w:t>DEER2011 Database Format</w:t>
      </w:r>
      <w:r w:rsidRPr="00EF7008">
        <w:rPr>
          <w:rFonts w:cs="Arial"/>
        </w:rPr>
        <w:t xml:space="preserve"> hyperlink, </w:t>
      </w:r>
      <w:r w:rsidRPr="00EF7008">
        <w:rPr>
          <w:rStyle w:val="breadcrumbs"/>
          <w:rFonts w:cs="Arial"/>
          <w:color w:val="333333"/>
          <w:lang w:val="en-GB"/>
        </w:rPr>
        <w:t>DEER2011 for 13-14</w:t>
      </w:r>
      <w:r w:rsidRPr="00EF7008">
        <w:rPr>
          <w:rFonts w:cs="Arial"/>
          <w:color w:val="333333"/>
          <w:lang w:val="en-GB"/>
        </w:rPr>
        <w:t>,</w:t>
      </w:r>
      <w:r w:rsidRPr="00EF7008">
        <w:rPr>
          <w:rFonts w:cs="Arial"/>
        </w:rPr>
        <w:t xml:space="preserve"> spreadsheet </w:t>
      </w:r>
      <w:r w:rsidRPr="00EF7008">
        <w:rPr>
          <w:rFonts w:cs="Arial"/>
          <w:i/>
        </w:rPr>
        <w:t>SPTdata_format-V0.97.xls.</w:t>
      </w:r>
    </w:p>
    <w:p w14:paraId="7F605C2D" w14:textId="77777777" w:rsidR="00A8378F" w:rsidRPr="00EF7008" w:rsidRDefault="00A8378F">
      <w:pPr>
        <w:pStyle w:val="EndnoteText"/>
      </w:pPr>
    </w:p>
  </w:endnote>
  <w:endnote w:id="8">
    <w:p w14:paraId="2EBD25C2" w14:textId="77777777" w:rsidR="00A8378F" w:rsidRPr="00EF7008" w:rsidRDefault="00A8378F" w:rsidP="00EB2B7A">
      <w:pPr>
        <w:pStyle w:val="EndnoteText"/>
        <w:ind w:left="540" w:hanging="540"/>
      </w:pPr>
      <w:r w:rsidRPr="00C95648">
        <w:rPr>
          <w:rStyle w:val="EndnoteReference"/>
        </w:rPr>
        <w:endnoteRef/>
      </w:r>
      <w:r>
        <w:t xml:space="preserve"> </w:t>
      </w:r>
      <w:r w:rsidRPr="00EF7008">
        <w:t>California Code of Regulations, Title 20, Section 1605.1.f.1 (Table F-3), October 2012.</w:t>
      </w:r>
    </w:p>
    <w:p w14:paraId="295E3D3F" w14:textId="77777777" w:rsidR="00A8378F" w:rsidRPr="00EF7008" w:rsidRDefault="00A8378F" w:rsidP="00EB2B7A">
      <w:pPr>
        <w:pStyle w:val="EndnoteText"/>
        <w:ind w:left="540" w:hanging="540"/>
      </w:pPr>
    </w:p>
  </w:endnote>
  <w:endnote w:id="9">
    <w:p w14:paraId="1F607574" w14:textId="77777777" w:rsidR="00A8378F" w:rsidRDefault="00A8378F">
      <w:pPr>
        <w:pStyle w:val="EndnoteText"/>
      </w:pPr>
      <w:r w:rsidRPr="00EF7008">
        <w:rPr>
          <w:rStyle w:val="EndnoteReference"/>
          <w:rFonts w:cs="Arial"/>
        </w:rPr>
        <w:endnoteRef/>
      </w:r>
      <w:r w:rsidRPr="00EF7008">
        <w:t xml:space="preserve"> The Benefits of Ozone in Hospitality On-Premise Laundry Operations, PG&amp;E Emerging Technologies Program, Application Assessment Report #0802, April 2009.</w:t>
      </w:r>
    </w:p>
    <w:p w14:paraId="52869544" w14:textId="77777777" w:rsidR="00A8378F" w:rsidRPr="00EF7008" w:rsidRDefault="00A8378F">
      <w:pPr>
        <w:pStyle w:val="EndnoteText"/>
      </w:pPr>
    </w:p>
  </w:endnote>
  <w:endnote w:id="10">
    <w:p w14:paraId="10193F67" w14:textId="77777777" w:rsidR="00A8378F" w:rsidRDefault="00A8378F">
      <w:pPr>
        <w:pStyle w:val="EndnoteText"/>
      </w:pPr>
      <w:r>
        <w:rPr>
          <w:rStyle w:val="EndnoteReference"/>
        </w:rPr>
        <w:endnoteRef/>
      </w:r>
      <w:r>
        <w:t xml:space="preserve"> Santa Barbara County Jail Ozone Laundry Detergent, Southern California Gas Company’s Emerging Technologies Program, Project Test Report, June 2011</w:t>
      </w:r>
    </w:p>
    <w:p w14:paraId="33A202E6" w14:textId="77777777" w:rsidR="00A8378F" w:rsidRDefault="00A8378F">
      <w:pPr>
        <w:pStyle w:val="EndnoteText"/>
      </w:pPr>
    </w:p>
  </w:endnote>
  <w:endnote w:id="11">
    <w:p w14:paraId="6955F909" w14:textId="77777777" w:rsidR="00A8378F" w:rsidRPr="00EF7008" w:rsidRDefault="00A8378F" w:rsidP="00B629E1">
      <w:pPr>
        <w:pStyle w:val="EndnoteText"/>
        <w:ind w:left="540" w:hanging="540"/>
      </w:pPr>
      <w:r w:rsidRPr="00465C5F">
        <w:rPr>
          <w:rStyle w:val="EndnoteReference"/>
        </w:rPr>
        <w:endnoteRef/>
      </w:r>
      <w:r>
        <w:t xml:space="preserve"> </w:t>
      </w:r>
      <w:r w:rsidRPr="00EF7008">
        <w:t>Federal Register, Vol. 52, No. 166</w:t>
      </w:r>
    </w:p>
    <w:p w14:paraId="223FB30D" w14:textId="77777777" w:rsidR="00A8378F" w:rsidRPr="00EF7008" w:rsidRDefault="00A8378F" w:rsidP="00B629E1">
      <w:pPr>
        <w:pStyle w:val="EndnoteText"/>
        <w:ind w:left="540" w:hanging="540"/>
      </w:pPr>
    </w:p>
  </w:endnote>
  <w:endnote w:id="12">
    <w:p w14:paraId="00C4B8F7" w14:textId="77777777" w:rsidR="00A8378F" w:rsidRDefault="00A8378F" w:rsidP="00B629E1">
      <w:pPr>
        <w:pStyle w:val="EndnoteText"/>
        <w:ind w:left="540" w:hanging="540"/>
      </w:pPr>
      <w:r w:rsidRPr="00465C5F">
        <w:rPr>
          <w:rStyle w:val="EndnoteReference"/>
        </w:rPr>
        <w:endnoteRef/>
      </w:r>
      <w:r>
        <w:t xml:space="preserve"> </w:t>
      </w:r>
      <w:r w:rsidRPr="00EF7008">
        <w:t>2009 ASHRAE Handbook – Fundamentals, Thermodynamic Properties of Water at Saturation, Section 1.1 (Table 3), 2009</w:t>
      </w:r>
    </w:p>
    <w:p w14:paraId="15F89AE6" w14:textId="77777777" w:rsidR="00A8378F" w:rsidRPr="00EF7008" w:rsidRDefault="00A8378F" w:rsidP="00B629E1">
      <w:pPr>
        <w:pStyle w:val="EndnoteText"/>
        <w:ind w:left="540" w:hanging="540"/>
      </w:pPr>
    </w:p>
  </w:endnote>
  <w:endnote w:id="13">
    <w:p w14:paraId="7D5B21C0" w14:textId="77777777" w:rsidR="00A8378F" w:rsidRDefault="00A8378F">
      <w:pPr>
        <w:pStyle w:val="EndnoteText"/>
      </w:pPr>
      <w:r w:rsidRPr="00EF7008">
        <w:rPr>
          <w:rStyle w:val="EndnoteReference"/>
        </w:rPr>
        <w:endnoteRef/>
      </w:r>
      <w:r w:rsidRPr="00EF7008">
        <w:t xml:space="preserve"> SCE, Measure Cost Revision 5 revised for PG&amp;E by S.L. Blanc 2012</w:t>
      </w:r>
    </w:p>
    <w:p w14:paraId="2C2AB0EF" w14:textId="77777777" w:rsidR="00A8378F" w:rsidRDefault="00A8378F">
      <w:pPr>
        <w:pStyle w:val="EndnoteText"/>
      </w:pPr>
      <w:r w:rsidRPr="003D298F">
        <w:t xml:space="preserve"> </w:t>
      </w:r>
      <w:bookmarkStart w:id="151" w:name="_MON_1398086104"/>
      <w:bookmarkStart w:id="152" w:name="_MON_1398083315"/>
      <w:bookmarkEnd w:id="151"/>
      <w:bookmarkEnd w:id="152"/>
      <w:bookmarkStart w:id="153" w:name="_MON_1382719778"/>
      <w:bookmarkEnd w:id="153"/>
      <w:r>
        <w:object w:dxaOrig="1859" w:dyaOrig="1203"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9" o:title=""/>
          </v:shape>
          <o:OLEObject Type="Embed" ProgID="Word.Document.8" ShapeID="_x0000_i1025" DrawAspect="Icon" ObjectID="_1568190807" r:id="rId10">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C216" w14:textId="77777777" w:rsidR="00A8378F" w:rsidRDefault="00A8378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E39F9B" w14:textId="77777777" w:rsidR="00A8378F" w:rsidRDefault="00A83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50E71" w14:textId="77777777" w:rsidR="00A8378F" w:rsidRPr="00846195" w:rsidRDefault="00A8378F"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C27D227" w14:textId="77777777" w:rsidR="00A8378F" w:rsidRDefault="00A8378F"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7EB5F87B" w14:textId="77777777" w:rsidR="00A8378F" w:rsidRDefault="00A8378F" w:rsidP="00D7047A">
    <w:pPr>
      <w:pStyle w:val="Footer"/>
      <w:rPr>
        <w:b/>
        <w:sz w:val="20"/>
        <w:szCs w:val="20"/>
      </w:rPr>
    </w:pPr>
    <w:r>
      <w:rPr>
        <w:b/>
        <w:sz w:val="20"/>
        <w:szCs w:val="20"/>
      </w:rPr>
      <w:t>Pacific Gas &amp; Electric Company</w:t>
    </w:r>
  </w:p>
  <w:p w14:paraId="260A907B" w14:textId="77777777" w:rsidR="00A8378F" w:rsidRPr="00844B27" w:rsidRDefault="00A8378F"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A3014" w14:textId="4BEDE1C2" w:rsidR="00A8378F" w:rsidRPr="002E0E3F" w:rsidRDefault="00A8378F" w:rsidP="00274A7E">
    <w:pPr>
      <w:pStyle w:val="Footer"/>
      <w:jc w:val="right"/>
      <w:rPr>
        <w:rFonts w:cs="Arial"/>
        <w:b/>
        <w:sz w:val="36"/>
        <w:szCs w:val="36"/>
      </w:rPr>
    </w:pPr>
    <w:r>
      <w:rPr>
        <w:rFonts w:cs="Arial"/>
        <w:b/>
        <w:sz w:val="36"/>
        <w:szCs w:val="36"/>
      </w:rPr>
      <w:t>8/22/2017</w:t>
    </w:r>
  </w:p>
  <w:p w14:paraId="28B33A0C" w14:textId="77777777" w:rsidR="00A8378F" w:rsidRDefault="00A837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87BE5" w14:textId="77777777" w:rsidR="00A8378F" w:rsidRDefault="00A8378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5E199" w14:textId="77777777" w:rsidR="00A8378F" w:rsidRDefault="00A8378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6C1D" w14:textId="77777777" w:rsidR="00A8378F" w:rsidRPr="00F53847" w:rsidRDefault="00A8378F" w:rsidP="00C747DF">
    <w:pPr>
      <w:pStyle w:val="Footer"/>
      <w:pBdr>
        <w:top w:val="single" w:sz="4" w:space="1" w:color="auto"/>
      </w:pBdr>
      <w:tabs>
        <w:tab w:val="clear" w:pos="4320"/>
        <w:tab w:val="clear" w:pos="8640"/>
        <w:tab w:val="right" w:pos="9360"/>
      </w:tabs>
      <w:rPr>
        <w:b/>
        <w:sz w:val="20"/>
        <w:szCs w:val="20"/>
      </w:rPr>
    </w:pPr>
    <w:r w:rsidRPr="00F53847">
      <w:rPr>
        <w:b/>
        <w:sz w:val="20"/>
        <w:szCs w:val="20"/>
      </w:rPr>
      <w:t>PGECOAPP</w:t>
    </w:r>
    <w:r>
      <w:rPr>
        <w:b/>
        <w:sz w:val="20"/>
        <w:szCs w:val="20"/>
      </w:rPr>
      <w:t>123 Ozone Laundry, Revision 6</w:t>
    </w:r>
    <w:r w:rsidRPr="009860E0">
      <w:rPr>
        <w:b/>
        <w:sz w:val="20"/>
        <w:szCs w:val="20"/>
      </w:rPr>
      <w:tab/>
    </w:r>
    <w:r>
      <w:rPr>
        <w:b/>
        <w:sz w:val="20"/>
        <w:szCs w:val="20"/>
      </w:rPr>
      <w:t>08/22/2017</w:t>
    </w:r>
  </w:p>
  <w:p w14:paraId="27B4623D" w14:textId="77777777" w:rsidR="00A8378F" w:rsidRPr="00F53847" w:rsidRDefault="00A8378F" w:rsidP="00D7047A">
    <w:pPr>
      <w:pStyle w:val="Footer"/>
      <w:rPr>
        <w:b/>
        <w:sz w:val="20"/>
        <w:szCs w:val="20"/>
      </w:rPr>
    </w:pPr>
    <w:r w:rsidRPr="00F53847">
      <w:rPr>
        <w:b/>
        <w:sz w:val="20"/>
        <w:szCs w:val="20"/>
      </w:rPr>
      <w:t>Pacific Gas &amp; Electric Company</w:t>
    </w:r>
  </w:p>
  <w:p w14:paraId="4E297F7F" w14:textId="48036C7D" w:rsidR="00A8378F" w:rsidRDefault="00A8378F"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PGECOAPP123 R6 Ozone Laundry.docx</w:t>
    </w:r>
    <w:r w:rsidRPr="00844B27">
      <w:rPr>
        <w:b/>
        <w:color w:val="0000FF"/>
        <w:sz w:val="20"/>
        <w:szCs w:val="20"/>
      </w:rPr>
      <w:fldChar w:fldCharType="end"/>
    </w:r>
    <w:r>
      <w:rPr>
        <w:b/>
        <w:color w:val="0000FF"/>
        <w:sz w:val="20"/>
        <w:szCs w:val="20"/>
      </w:rPr>
      <w:t xml:space="preserve"> </w:t>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3943DC">
      <w:rPr>
        <w:b/>
        <w:noProof/>
        <w:color w:val="0000FF"/>
        <w:sz w:val="20"/>
        <w:szCs w:val="20"/>
      </w:rPr>
      <w:t>14</w:t>
    </w:r>
    <w:r>
      <w:rPr>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E4D1D" w14:textId="77777777" w:rsidR="00A8378F" w:rsidRPr="002E0E3F" w:rsidRDefault="00A8378F" w:rsidP="00D7047A">
    <w:pPr>
      <w:pStyle w:val="Footer"/>
      <w:jc w:val="right"/>
      <w:rPr>
        <w:rFonts w:cs="Arial"/>
        <w:b/>
        <w:sz w:val="36"/>
        <w:szCs w:val="36"/>
      </w:rPr>
    </w:pPr>
    <w:r>
      <w:rPr>
        <w:rFonts w:cs="Arial"/>
        <w:b/>
        <w:sz w:val="36"/>
        <w:szCs w:val="36"/>
      </w:rPr>
      <w:t>Date of Last Revision</w:t>
    </w:r>
  </w:p>
  <w:p w14:paraId="1AE1168C" w14:textId="77777777" w:rsidR="00A8378F" w:rsidRDefault="00A83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988AF" w14:textId="77777777" w:rsidR="007C4CAE" w:rsidRDefault="007C4CAE">
      <w:r>
        <w:separator/>
      </w:r>
    </w:p>
    <w:p w14:paraId="714D40BE" w14:textId="77777777" w:rsidR="007C4CAE" w:rsidRDefault="007C4CAE"/>
  </w:footnote>
  <w:footnote w:type="continuationSeparator" w:id="0">
    <w:p w14:paraId="5C7FEBB6" w14:textId="77777777" w:rsidR="007C4CAE" w:rsidRDefault="007C4CAE">
      <w:r>
        <w:continuationSeparator/>
      </w:r>
    </w:p>
    <w:p w14:paraId="32829E34" w14:textId="77777777" w:rsidR="007C4CAE" w:rsidRDefault="007C4C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0DE84" w14:textId="77777777" w:rsidR="00A8378F" w:rsidRDefault="00A8378F">
    <w:pPr>
      <w:pStyle w:val="Header"/>
    </w:pPr>
    <w:r>
      <w:rPr>
        <w:noProof/>
      </w:rPr>
      <mc:AlternateContent>
        <mc:Choice Requires="wps">
          <w:drawing>
            <wp:anchor distT="0" distB="0" distL="114300" distR="114300" simplePos="0" relativeHeight="251657728" behindDoc="1" locked="0" layoutInCell="1" allowOverlap="1" wp14:anchorId="393A15BA" wp14:editId="2DEE7072">
              <wp:simplePos x="0" y="0"/>
              <wp:positionH relativeFrom="margin">
                <wp:align>center</wp:align>
              </wp:positionH>
              <wp:positionV relativeFrom="margin">
                <wp:align>center</wp:align>
              </wp:positionV>
              <wp:extent cx="5525135" cy="2209800"/>
              <wp:effectExtent l="0" t="1409700" r="0" b="1276350"/>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8FCBA7" w14:textId="77777777" w:rsidR="00A8378F" w:rsidRDefault="00A8378F" w:rsidP="00791BBB">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Br7MhV&#10;hQIAAPwEAAAOAAAAAAAAAAAAAAAAAC4CAABkcnMvZTJvRG9jLnhtbFBLAQItABQABgAIAAAAIQAS&#10;JU4+2wAAAAUBAAAPAAAAAAAAAAAAAAAAAN8EAABkcnMvZG93bnJldi54bWxQSwUGAAAAAAQABADz&#10;AAAA5wUAAAAA&#10;" filled="f" stroked="f">
              <v:stroke joinstyle="round"/>
              <o:lock v:ext="edit" shapetype="t"/>
              <v:textbox style="mso-fit-shape-to-text:t">
                <w:txbxContent>
                  <w:p w14:paraId="5D8FCBA7" w14:textId="77777777" w:rsidR="00A8378F" w:rsidRDefault="00A8378F" w:rsidP="00791BBB">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C64E8" w14:textId="77777777" w:rsidR="00A8378F" w:rsidRDefault="00A8378F" w:rsidP="001A573F">
    <w:pPr>
      <w:pStyle w:val="Header"/>
      <w:jc w:val="right"/>
    </w:pPr>
  </w:p>
  <w:p w14:paraId="4117ECBA" w14:textId="77777777" w:rsidR="00A8378F" w:rsidRDefault="00A8378F"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2DDFB" w14:textId="77777777" w:rsidR="00A8378F" w:rsidRDefault="00A8378F">
    <w:pPr>
      <w:pStyle w:val="Header"/>
    </w:pPr>
    <w:r>
      <w:rPr>
        <w:noProof/>
      </w:rPr>
      <mc:AlternateContent>
        <mc:Choice Requires="wps">
          <w:drawing>
            <wp:anchor distT="0" distB="0" distL="114300" distR="114300" simplePos="0" relativeHeight="251656704" behindDoc="1" locked="0" layoutInCell="1" allowOverlap="1" wp14:anchorId="393A15BB" wp14:editId="5D68EDA4">
              <wp:simplePos x="0" y="0"/>
              <wp:positionH relativeFrom="margin">
                <wp:align>center</wp:align>
              </wp:positionH>
              <wp:positionV relativeFrom="margin">
                <wp:align>center</wp:align>
              </wp:positionV>
              <wp:extent cx="5525135" cy="2209800"/>
              <wp:effectExtent l="0" t="1409700" r="0" b="127635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C2A855" w14:textId="77777777" w:rsidR="00A8378F" w:rsidRDefault="00A8378F" w:rsidP="00791BBB">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7" type="#_x0000_t202" style="position:absolute;margin-left:0;margin-top:0;width:435.05pt;height:17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" filled="f" stroked="f">
              <v:stroke joinstyle="round"/>
              <o:lock v:ext="edit" shapetype="t"/>
              <v:textbox style="mso-fit-shape-to-text:t">
                <w:txbxContent>
                  <w:p w14:paraId="37C2A855" w14:textId="77777777" w:rsidR="00A8378F" w:rsidRDefault="00A8378F" w:rsidP="00791BBB">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FD378" w14:textId="77777777" w:rsidR="00A8378F" w:rsidRDefault="00A8378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759567"/>
      <w:docPartObj>
        <w:docPartGallery w:val="Watermarks"/>
        <w:docPartUnique/>
      </w:docPartObj>
    </w:sdtPr>
    <w:sdtEndPr/>
    <w:sdtContent>
      <w:p w14:paraId="1A0A07A5" w14:textId="77777777" w:rsidR="00A8378F" w:rsidRDefault="007C4CAE" w:rsidP="001A573F">
        <w:pPr>
          <w:pStyle w:val="Header"/>
          <w:jc w:val="right"/>
        </w:pPr>
        <w:r>
          <w:rPr>
            <w:noProof/>
          </w:rPr>
          <w:pict w14:anchorId="4739FC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0DD40B9A" w14:textId="77777777" w:rsidR="00A8378F" w:rsidRDefault="00A8378F" w:rsidP="001A573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3A2A0" w14:textId="77777777" w:rsidR="00A8378F" w:rsidRDefault="00A837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534"/>
    <w:multiLevelType w:val="hybridMultilevel"/>
    <w:tmpl w:val="FA843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D2A05FD"/>
    <w:multiLevelType w:val="hybridMultilevel"/>
    <w:tmpl w:val="AFCC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602667"/>
    <w:multiLevelType w:val="hybridMultilevel"/>
    <w:tmpl w:val="7F58D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9430DFD"/>
    <w:multiLevelType w:val="hybridMultilevel"/>
    <w:tmpl w:val="3338653A"/>
    <w:lvl w:ilvl="0" w:tplc="04090001">
      <w:start w:val="1"/>
      <w:numFmt w:val="bullet"/>
      <w:lvlText w:val=""/>
      <w:lvlJc w:val="left"/>
      <w:pPr>
        <w:tabs>
          <w:tab w:val="num" w:pos="720"/>
        </w:tabs>
        <w:ind w:left="720" w:hanging="360"/>
      </w:pPr>
      <w:rPr>
        <w:rFonts w:ascii="Symbol" w:hAnsi="Symbol" w:hint="default"/>
      </w:rPr>
    </w:lvl>
    <w:lvl w:ilvl="1" w:tplc="BB9A8BE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47B5594"/>
    <w:multiLevelType w:val="hybridMultilevel"/>
    <w:tmpl w:val="1E90C3A6"/>
    <w:lvl w:ilvl="0" w:tplc="359C0F7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5F5B3C"/>
    <w:multiLevelType w:val="hybridMultilevel"/>
    <w:tmpl w:val="92228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820856"/>
    <w:multiLevelType w:val="singleLevel"/>
    <w:tmpl w:val="6C78A414"/>
    <w:lvl w:ilvl="0">
      <w:start w:val="1"/>
      <w:numFmt w:val="decimal"/>
      <w:lvlText w:val="%1."/>
      <w:legacy w:legacy="1" w:legacySpace="0" w:legacyIndent="0"/>
      <w:lvlJc w:val="left"/>
    </w:lvl>
  </w:abstractNum>
  <w:abstractNum w:abstractNumId="23">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D17506"/>
    <w:multiLevelType w:val="hybridMultilevel"/>
    <w:tmpl w:val="7F58D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5"/>
  </w:num>
  <w:num w:numId="4">
    <w:abstractNumId w:val="8"/>
  </w:num>
  <w:num w:numId="5">
    <w:abstractNumId w:val="22"/>
  </w:num>
  <w:num w:numId="6">
    <w:abstractNumId w:val="11"/>
  </w:num>
  <w:num w:numId="7">
    <w:abstractNumId w:val="6"/>
  </w:num>
  <w:num w:numId="8">
    <w:abstractNumId w:val="14"/>
  </w:num>
  <w:num w:numId="9">
    <w:abstractNumId w:val="10"/>
  </w:num>
  <w:num w:numId="10">
    <w:abstractNumId w:val="2"/>
  </w:num>
  <w:num w:numId="11">
    <w:abstractNumId w:val="19"/>
  </w:num>
  <w:num w:numId="12">
    <w:abstractNumId w:val="20"/>
  </w:num>
  <w:num w:numId="13">
    <w:abstractNumId w:val="4"/>
  </w:num>
  <w:num w:numId="14">
    <w:abstractNumId w:val="25"/>
  </w:num>
  <w:num w:numId="15">
    <w:abstractNumId w:val="15"/>
  </w:num>
  <w:num w:numId="16">
    <w:abstractNumId w:val="17"/>
  </w:num>
  <w:num w:numId="17">
    <w:abstractNumId w:val="1"/>
  </w:num>
  <w:num w:numId="18">
    <w:abstractNumId w:val="23"/>
  </w:num>
  <w:num w:numId="19">
    <w:abstractNumId w:val="21"/>
  </w:num>
  <w:num w:numId="20">
    <w:abstractNumId w:val="7"/>
  </w:num>
  <w:num w:numId="21">
    <w:abstractNumId w:val="13"/>
  </w:num>
  <w:num w:numId="22">
    <w:abstractNumId w:val="16"/>
  </w:num>
  <w:num w:numId="23">
    <w:abstractNumId w:val="24"/>
  </w:num>
  <w:num w:numId="24">
    <w:abstractNumId w:val="0"/>
  </w:num>
  <w:num w:numId="25">
    <w:abstractNumId w:val="18"/>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ndoza, Matthew D">
    <w15:presenceInfo w15:providerId="AD" w15:userId="S-1-5-21-1343024091-1078145449-682003330-296520"/>
  </w15:person>
  <w15:person w15:author="Paek, Chan U">
    <w15:presenceInfo w15:providerId="AD" w15:userId="S-1-5-21-1343024091-1078145449-682003330-1573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441A"/>
    <w:rsid w:val="00005E70"/>
    <w:rsid w:val="00011DBB"/>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B0E64"/>
    <w:rsid w:val="000C0FD3"/>
    <w:rsid w:val="000C5B2D"/>
    <w:rsid w:val="000C6D7B"/>
    <w:rsid w:val="000D0CE1"/>
    <w:rsid w:val="000D17B9"/>
    <w:rsid w:val="000E132D"/>
    <w:rsid w:val="000E22C9"/>
    <w:rsid w:val="000E31B5"/>
    <w:rsid w:val="000E52D1"/>
    <w:rsid w:val="000F0069"/>
    <w:rsid w:val="000F11DD"/>
    <w:rsid w:val="000F19A2"/>
    <w:rsid w:val="00113464"/>
    <w:rsid w:val="00115EB1"/>
    <w:rsid w:val="00116F0C"/>
    <w:rsid w:val="001178BE"/>
    <w:rsid w:val="0012176A"/>
    <w:rsid w:val="00121A22"/>
    <w:rsid w:val="001245B8"/>
    <w:rsid w:val="001248A3"/>
    <w:rsid w:val="00124F32"/>
    <w:rsid w:val="00126483"/>
    <w:rsid w:val="00126A4E"/>
    <w:rsid w:val="00127CC8"/>
    <w:rsid w:val="0013046A"/>
    <w:rsid w:val="0013080C"/>
    <w:rsid w:val="0013087E"/>
    <w:rsid w:val="00133198"/>
    <w:rsid w:val="00133C60"/>
    <w:rsid w:val="00136D56"/>
    <w:rsid w:val="00137B2D"/>
    <w:rsid w:val="00146434"/>
    <w:rsid w:val="001465B1"/>
    <w:rsid w:val="00150EC7"/>
    <w:rsid w:val="00155EF5"/>
    <w:rsid w:val="00167F2B"/>
    <w:rsid w:val="00170809"/>
    <w:rsid w:val="0017179F"/>
    <w:rsid w:val="00172149"/>
    <w:rsid w:val="00175673"/>
    <w:rsid w:val="00176431"/>
    <w:rsid w:val="00183C8E"/>
    <w:rsid w:val="00190BBB"/>
    <w:rsid w:val="00192B77"/>
    <w:rsid w:val="001946B1"/>
    <w:rsid w:val="00194E14"/>
    <w:rsid w:val="0019648A"/>
    <w:rsid w:val="001965AF"/>
    <w:rsid w:val="00196CFF"/>
    <w:rsid w:val="00196D7C"/>
    <w:rsid w:val="00197A23"/>
    <w:rsid w:val="001A3026"/>
    <w:rsid w:val="001A4516"/>
    <w:rsid w:val="001A550C"/>
    <w:rsid w:val="001A573F"/>
    <w:rsid w:val="001A64C6"/>
    <w:rsid w:val="001A7081"/>
    <w:rsid w:val="001A70AD"/>
    <w:rsid w:val="001A73E3"/>
    <w:rsid w:val="001B238D"/>
    <w:rsid w:val="001B242B"/>
    <w:rsid w:val="001B276C"/>
    <w:rsid w:val="001B4ACB"/>
    <w:rsid w:val="001B4D4A"/>
    <w:rsid w:val="001B5E15"/>
    <w:rsid w:val="001B75E6"/>
    <w:rsid w:val="001B792D"/>
    <w:rsid w:val="001C0CB0"/>
    <w:rsid w:val="001C2942"/>
    <w:rsid w:val="001C63A2"/>
    <w:rsid w:val="001D11CE"/>
    <w:rsid w:val="001D16C2"/>
    <w:rsid w:val="001D3F48"/>
    <w:rsid w:val="001D483C"/>
    <w:rsid w:val="001D51ED"/>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D6158"/>
    <w:rsid w:val="002E0043"/>
    <w:rsid w:val="002E40A2"/>
    <w:rsid w:val="002E47B4"/>
    <w:rsid w:val="002E4B46"/>
    <w:rsid w:val="002E5671"/>
    <w:rsid w:val="002E6162"/>
    <w:rsid w:val="002F105C"/>
    <w:rsid w:val="002F2D19"/>
    <w:rsid w:val="002F3610"/>
    <w:rsid w:val="002F3FE5"/>
    <w:rsid w:val="002F4E8C"/>
    <w:rsid w:val="0030080B"/>
    <w:rsid w:val="0030114D"/>
    <w:rsid w:val="00302511"/>
    <w:rsid w:val="00302B74"/>
    <w:rsid w:val="003032B7"/>
    <w:rsid w:val="0030550A"/>
    <w:rsid w:val="003129E8"/>
    <w:rsid w:val="00315AB7"/>
    <w:rsid w:val="00324AFE"/>
    <w:rsid w:val="00324D0F"/>
    <w:rsid w:val="003259CD"/>
    <w:rsid w:val="0032657A"/>
    <w:rsid w:val="0033378D"/>
    <w:rsid w:val="00333E01"/>
    <w:rsid w:val="00335017"/>
    <w:rsid w:val="00337605"/>
    <w:rsid w:val="003408A4"/>
    <w:rsid w:val="00340DAD"/>
    <w:rsid w:val="00340DC8"/>
    <w:rsid w:val="00345971"/>
    <w:rsid w:val="00345DE6"/>
    <w:rsid w:val="0034647B"/>
    <w:rsid w:val="00346DC6"/>
    <w:rsid w:val="00350382"/>
    <w:rsid w:val="00353DC2"/>
    <w:rsid w:val="003541A6"/>
    <w:rsid w:val="00354D4C"/>
    <w:rsid w:val="00362067"/>
    <w:rsid w:val="003700D9"/>
    <w:rsid w:val="00372255"/>
    <w:rsid w:val="00374640"/>
    <w:rsid w:val="00377407"/>
    <w:rsid w:val="0038083E"/>
    <w:rsid w:val="0038391A"/>
    <w:rsid w:val="00392B5E"/>
    <w:rsid w:val="00392C05"/>
    <w:rsid w:val="00393618"/>
    <w:rsid w:val="00393694"/>
    <w:rsid w:val="00393D41"/>
    <w:rsid w:val="003943DC"/>
    <w:rsid w:val="00395845"/>
    <w:rsid w:val="003A1B51"/>
    <w:rsid w:val="003A648E"/>
    <w:rsid w:val="003A66D0"/>
    <w:rsid w:val="003A7230"/>
    <w:rsid w:val="003B384E"/>
    <w:rsid w:val="003B51DE"/>
    <w:rsid w:val="003B6B5B"/>
    <w:rsid w:val="003C04F3"/>
    <w:rsid w:val="003C27C4"/>
    <w:rsid w:val="003C3A3C"/>
    <w:rsid w:val="003C48C5"/>
    <w:rsid w:val="003C5980"/>
    <w:rsid w:val="003C6DFA"/>
    <w:rsid w:val="003D04BC"/>
    <w:rsid w:val="003D0948"/>
    <w:rsid w:val="003D1707"/>
    <w:rsid w:val="003D1D20"/>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17859"/>
    <w:rsid w:val="00421ED8"/>
    <w:rsid w:val="0042297B"/>
    <w:rsid w:val="00422F19"/>
    <w:rsid w:val="00423B48"/>
    <w:rsid w:val="00425FE9"/>
    <w:rsid w:val="00427131"/>
    <w:rsid w:val="00430775"/>
    <w:rsid w:val="004323E9"/>
    <w:rsid w:val="00432C65"/>
    <w:rsid w:val="004339ED"/>
    <w:rsid w:val="00433B89"/>
    <w:rsid w:val="00435ABD"/>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5AFD"/>
    <w:rsid w:val="00465C5F"/>
    <w:rsid w:val="00467FE9"/>
    <w:rsid w:val="00474025"/>
    <w:rsid w:val="0048008C"/>
    <w:rsid w:val="004809C9"/>
    <w:rsid w:val="00480BAD"/>
    <w:rsid w:val="00480C7E"/>
    <w:rsid w:val="00480F95"/>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B65B4"/>
    <w:rsid w:val="004C4E2A"/>
    <w:rsid w:val="004C56D1"/>
    <w:rsid w:val="004D2C76"/>
    <w:rsid w:val="004D3D03"/>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3D81"/>
    <w:rsid w:val="00514B37"/>
    <w:rsid w:val="00514EEC"/>
    <w:rsid w:val="005164A6"/>
    <w:rsid w:val="00520DC6"/>
    <w:rsid w:val="00521874"/>
    <w:rsid w:val="00521920"/>
    <w:rsid w:val="005246B1"/>
    <w:rsid w:val="00530B04"/>
    <w:rsid w:val="00534386"/>
    <w:rsid w:val="0053683E"/>
    <w:rsid w:val="00537B0D"/>
    <w:rsid w:val="005403E8"/>
    <w:rsid w:val="00541E03"/>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33B7"/>
    <w:rsid w:val="00574D78"/>
    <w:rsid w:val="00574FBD"/>
    <w:rsid w:val="00577237"/>
    <w:rsid w:val="005773BB"/>
    <w:rsid w:val="0058526A"/>
    <w:rsid w:val="00585C83"/>
    <w:rsid w:val="00586604"/>
    <w:rsid w:val="00587DDD"/>
    <w:rsid w:val="00591FDD"/>
    <w:rsid w:val="005952D8"/>
    <w:rsid w:val="005A1F9D"/>
    <w:rsid w:val="005A3798"/>
    <w:rsid w:val="005A67E5"/>
    <w:rsid w:val="005A7302"/>
    <w:rsid w:val="005B00A6"/>
    <w:rsid w:val="005B4A5F"/>
    <w:rsid w:val="005C2844"/>
    <w:rsid w:val="005C7F3F"/>
    <w:rsid w:val="005D5EC1"/>
    <w:rsid w:val="005D61BC"/>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2613"/>
    <w:rsid w:val="00663A00"/>
    <w:rsid w:val="00664FA6"/>
    <w:rsid w:val="0066632E"/>
    <w:rsid w:val="00671943"/>
    <w:rsid w:val="00673682"/>
    <w:rsid w:val="00673F76"/>
    <w:rsid w:val="006832A4"/>
    <w:rsid w:val="006846E9"/>
    <w:rsid w:val="006872DB"/>
    <w:rsid w:val="00695ED2"/>
    <w:rsid w:val="006968B4"/>
    <w:rsid w:val="006A1022"/>
    <w:rsid w:val="006A1A83"/>
    <w:rsid w:val="006A2C4B"/>
    <w:rsid w:val="006A541C"/>
    <w:rsid w:val="006A55D2"/>
    <w:rsid w:val="006A7708"/>
    <w:rsid w:val="006B1F15"/>
    <w:rsid w:val="006B3774"/>
    <w:rsid w:val="006B42B8"/>
    <w:rsid w:val="006B4563"/>
    <w:rsid w:val="006B6104"/>
    <w:rsid w:val="006B763D"/>
    <w:rsid w:val="006B7EDD"/>
    <w:rsid w:val="006C3CAA"/>
    <w:rsid w:val="006C44B4"/>
    <w:rsid w:val="006D0365"/>
    <w:rsid w:val="006D2068"/>
    <w:rsid w:val="006D3725"/>
    <w:rsid w:val="006D4AE1"/>
    <w:rsid w:val="006D52D8"/>
    <w:rsid w:val="006D5AAB"/>
    <w:rsid w:val="006E0111"/>
    <w:rsid w:val="006E3C13"/>
    <w:rsid w:val="006E5760"/>
    <w:rsid w:val="006E5CB6"/>
    <w:rsid w:val="006F0139"/>
    <w:rsid w:val="006F214B"/>
    <w:rsid w:val="006F28C7"/>
    <w:rsid w:val="007001DD"/>
    <w:rsid w:val="0070443C"/>
    <w:rsid w:val="00712407"/>
    <w:rsid w:val="00712477"/>
    <w:rsid w:val="00721A54"/>
    <w:rsid w:val="00721C75"/>
    <w:rsid w:val="007228DB"/>
    <w:rsid w:val="00722940"/>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57E"/>
    <w:rsid w:val="00762F0E"/>
    <w:rsid w:val="007652CE"/>
    <w:rsid w:val="00765936"/>
    <w:rsid w:val="0077416A"/>
    <w:rsid w:val="0077706D"/>
    <w:rsid w:val="00781316"/>
    <w:rsid w:val="007821CF"/>
    <w:rsid w:val="00783DAC"/>
    <w:rsid w:val="00784500"/>
    <w:rsid w:val="007847B2"/>
    <w:rsid w:val="00785112"/>
    <w:rsid w:val="00786700"/>
    <w:rsid w:val="007867D9"/>
    <w:rsid w:val="007878B9"/>
    <w:rsid w:val="00790C15"/>
    <w:rsid w:val="00791BBB"/>
    <w:rsid w:val="007931BC"/>
    <w:rsid w:val="00793646"/>
    <w:rsid w:val="0079521E"/>
    <w:rsid w:val="00796071"/>
    <w:rsid w:val="007A0C2E"/>
    <w:rsid w:val="007A1510"/>
    <w:rsid w:val="007A4D97"/>
    <w:rsid w:val="007A768C"/>
    <w:rsid w:val="007B2CAC"/>
    <w:rsid w:val="007B2E26"/>
    <w:rsid w:val="007B44FB"/>
    <w:rsid w:val="007C0E38"/>
    <w:rsid w:val="007C18E3"/>
    <w:rsid w:val="007C1E01"/>
    <w:rsid w:val="007C4CAE"/>
    <w:rsid w:val="007C4E08"/>
    <w:rsid w:val="007D0411"/>
    <w:rsid w:val="007D2F4C"/>
    <w:rsid w:val="007D3DFF"/>
    <w:rsid w:val="007D3F38"/>
    <w:rsid w:val="007D4DB8"/>
    <w:rsid w:val="007E2197"/>
    <w:rsid w:val="007E3304"/>
    <w:rsid w:val="007E43DB"/>
    <w:rsid w:val="007E6C79"/>
    <w:rsid w:val="007F1E48"/>
    <w:rsid w:val="007F2147"/>
    <w:rsid w:val="007F36E9"/>
    <w:rsid w:val="007F4605"/>
    <w:rsid w:val="007F5007"/>
    <w:rsid w:val="007F6C7D"/>
    <w:rsid w:val="008026F6"/>
    <w:rsid w:val="00803F84"/>
    <w:rsid w:val="00804B2C"/>
    <w:rsid w:val="00806070"/>
    <w:rsid w:val="00806EE8"/>
    <w:rsid w:val="00811090"/>
    <w:rsid w:val="00811D89"/>
    <w:rsid w:val="00814500"/>
    <w:rsid w:val="00822F77"/>
    <w:rsid w:val="00833AF7"/>
    <w:rsid w:val="00834023"/>
    <w:rsid w:val="008344F8"/>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0A5"/>
    <w:rsid w:val="00890F95"/>
    <w:rsid w:val="0089264E"/>
    <w:rsid w:val="0089311A"/>
    <w:rsid w:val="008946C3"/>
    <w:rsid w:val="008948E0"/>
    <w:rsid w:val="0089528C"/>
    <w:rsid w:val="008A1884"/>
    <w:rsid w:val="008A6467"/>
    <w:rsid w:val="008B034D"/>
    <w:rsid w:val="008B0BBC"/>
    <w:rsid w:val="008B383E"/>
    <w:rsid w:val="008B4153"/>
    <w:rsid w:val="008B5356"/>
    <w:rsid w:val="008B7927"/>
    <w:rsid w:val="008C5AF3"/>
    <w:rsid w:val="008C6AD1"/>
    <w:rsid w:val="008C71B5"/>
    <w:rsid w:val="008D7DB9"/>
    <w:rsid w:val="008E1095"/>
    <w:rsid w:val="008E431F"/>
    <w:rsid w:val="008E5E12"/>
    <w:rsid w:val="008F0D2A"/>
    <w:rsid w:val="008F12D4"/>
    <w:rsid w:val="008F17A0"/>
    <w:rsid w:val="008F23EF"/>
    <w:rsid w:val="008F386F"/>
    <w:rsid w:val="008F48E1"/>
    <w:rsid w:val="008F5BD0"/>
    <w:rsid w:val="009003FE"/>
    <w:rsid w:val="00901D8A"/>
    <w:rsid w:val="00903C95"/>
    <w:rsid w:val="009046D4"/>
    <w:rsid w:val="009073F9"/>
    <w:rsid w:val="0091058D"/>
    <w:rsid w:val="00913858"/>
    <w:rsid w:val="00913A0F"/>
    <w:rsid w:val="00914959"/>
    <w:rsid w:val="00915CE6"/>
    <w:rsid w:val="00916468"/>
    <w:rsid w:val="009168A1"/>
    <w:rsid w:val="009241E2"/>
    <w:rsid w:val="00924681"/>
    <w:rsid w:val="0092622E"/>
    <w:rsid w:val="0092689B"/>
    <w:rsid w:val="00930877"/>
    <w:rsid w:val="00945CB0"/>
    <w:rsid w:val="00951188"/>
    <w:rsid w:val="00955732"/>
    <w:rsid w:val="00955CBA"/>
    <w:rsid w:val="00960F2F"/>
    <w:rsid w:val="009634F6"/>
    <w:rsid w:val="00963B5E"/>
    <w:rsid w:val="00963FA0"/>
    <w:rsid w:val="0096491F"/>
    <w:rsid w:val="009734DD"/>
    <w:rsid w:val="00974E95"/>
    <w:rsid w:val="00975F2D"/>
    <w:rsid w:val="00977BF5"/>
    <w:rsid w:val="0098302D"/>
    <w:rsid w:val="009833EF"/>
    <w:rsid w:val="00984959"/>
    <w:rsid w:val="009860E0"/>
    <w:rsid w:val="00987608"/>
    <w:rsid w:val="009943A0"/>
    <w:rsid w:val="009953BC"/>
    <w:rsid w:val="009957B2"/>
    <w:rsid w:val="009963D2"/>
    <w:rsid w:val="009A0568"/>
    <w:rsid w:val="009A0AF9"/>
    <w:rsid w:val="009A13E2"/>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93F"/>
    <w:rsid w:val="009C425A"/>
    <w:rsid w:val="009C5CA7"/>
    <w:rsid w:val="009D03F8"/>
    <w:rsid w:val="009D0D55"/>
    <w:rsid w:val="009D1433"/>
    <w:rsid w:val="009D1DF4"/>
    <w:rsid w:val="009D339D"/>
    <w:rsid w:val="009D669C"/>
    <w:rsid w:val="009D7A24"/>
    <w:rsid w:val="009E00A0"/>
    <w:rsid w:val="009E00E4"/>
    <w:rsid w:val="009E0D20"/>
    <w:rsid w:val="009E0F6B"/>
    <w:rsid w:val="009E23B7"/>
    <w:rsid w:val="009E27D7"/>
    <w:rsid w:val="009E2964"/>
    <w:rsid w:val="009E5D18"/>
    <w:rsid w:val="009E7DCD"/>
    <w:rsid w:val="009F55F9"/>
    <w:rsid w:val="009F5CC0"/>
    <w:rsid w:val="009F6F8B"/>
    <w:rsid w:val="009F7164"/>
    <w:rsid w:val="009F7294"/>
    <w:rsid w:val="00A01631"/>
    <w:rsid w:val="00A02F0A"/>
    <w:rsid w:val="00A04EB0"/>
    <w:rsid w:val="00A1074D"/>
    <w:rsid w:val="00A127DD"/>
    <w:rsid w:val="00A137D1"/>
    <w:rsid w:val="00A14E6C"/>
    <w:rsid w:val="00A151EA"/>
    <w:rsid w:val="00A167EC"/>
    <w:rsid w:val="00A172E6"/>
    <w:rsid w:val="00A2426B"/>
    <w:rsid w:val="00A24434"/>
    <w:rsid w:val="00A24C8D"/>
    <w:rsid w:val="00A26F15"/>
    <w:rsid w:val="00A30E37"/>
    <w:rsid w:val="00A32AE2"/>
    <w:rsid w:val="00A35CF8"/>
    <w:rsid w:val="00A360E7"/>
    <w:rsid w:val="00A400FB"/>
    <w:rsid w:val="00A443D1"/>
    <w:rsid w:val="00A456B3"/>
    <w:rsid w:val="00A47910"/>
    <w:rsid w:val="00A47BFE"/>
    <w:rsid w:val="00A5087E"/>
    <w:rsid w:val="00A51808"/>
    <w:rsid w:val="00A51D78"/>
    <w:rsid w:val="00A51EA8"/>
    <w:rsid w:val="00A52705"/>
    <w:rsid w:val="00A549C3"/>
    <w:rsid w:val="00A55DD1"/>
    <w:rsid w:val="00A561A8"/>
    <w:rsid w:val="00A562A6"/>
    <w:rsid w:val="00A57AE0"/>
    <w:rsid w:val="00A614C3"/>
    <w:rsid w:val="00A646B3"/>
    <w:rsid w:val="00A7007B"/>
    <w:rsid w:val="00A71623"/>
    <w:rsid w:val="00A71F50"/>
    <w:rsid w:val="00A77CF2"/>
    <w:rsid w:val="00A81CF8"/>
    <w:rsid w:val="00A8378F"/>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0094"/>
    <w:rsid w:val="00AC21EE"/>
    <w:rsid w:val="00AC3B22"/>
    <w:rsid w:val="00AC4101"/>
    <w:rsid w:val="00AC5597"/>
    <w:rsid w:val="00AC56EF"/>
    <w:rsid w:val="00AC6C3F"/>
    <w:rsid w:val="00AD0116"/>
    <w:rsid w:val="00AD1B42"/>
    <w:rsid w:val="00AD4177"/>
    <w:rsid w:val="00AD4B84"/>
    <w:rsid w:val="00AE23BE"/>
    <w:rsid w:val="00AE4400"/>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29E1"/>
    <w:rsid w:val="00B64F62"/>
    <w:rsid w:val="00B66898"/>
    <w:rsid w:val="00B67431"/>
    <w:rsid w:val="00B7164C"/>
    <w:rsid w:val="00B74832"/>
    <w:rsid w:val="00B74917"/>
    <w:rsid w:val="00B807AB"/>
    <w:rsid w:val="00B80F53"/>
    <w:rsid w:val="00B82E26"/>
    <w:rsid w:val="00B8365C"/>
    <w:rsid w:val="00B95FBC"/>
    <w:rsid w:val="00B97C44"/>
    <w:rsid w:val="00BA05AE"/>
    <w:rsid w:val="00BA2FA3"/>
    <w:rsid w:val="00BA3B71"/>
    <w:rsid w:val="00BA6418"/>
    <w:rsid w:val="00BA7D18"/>
    <w:rsid w:val="00BB3A8F"/>
    <w:rsid w:val="00BC1770"/>
    <w:rsid w:val="00BC19F6"/>
    <w:rsid w:val="00BC2A83"/>
    <w:rsid w:val="00BD02D0"/>
    <w:rsid w:val="00BD0D15"/>
    <w:rsid w:val="00BD2BF6"/>
    <w:rsid w:val="00BD5425"/>
    <w:rsid w:val="00BD6F74"/>
    <w:rsid w:val="00BE5E74"/>
    <w:rsid w:val="00BF0332"/>
    <w:rsid w:val="00BF5FCC"/>
    <w:rsid w:val="00C00FA2"/>
    <w:rsid w:val="00C069A2"/>
    <w:rsid w:val="00C069EC"/>
    <w:rsid w:val="00C139BC"/>
    <w:rsid w:val="00C17416"/>
    <w:rsid w:val="00C1748F"/>
    <w:rsid w:val="00C20E1C"/>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95648"/>
    <w:rsid w:val="00CA071B"/>
    <w:rsid w:val="00CA2602"/>
    <w:rsid w:val="00CA5466"/>
    <w:rsid w:val="00CA591D"/>
    <w:rsid w:val="00CA734B"/>
    <w:rsid w:val="00CB0475"/>
    <w:rsid w:val="00CB2C4F"/>
    <w:rsid w:val="00CB3583"/>
    <w:rsid w:val="00CB3AE1"/>
    <w:rsid w:val="00CB3C71"/>
    <w:rsid w:val="00CB6A8C"/>
    <w:rsid w:val="00CC34FF"/>
    <w:rsid w:val="00CC44F0"/>
    <w:rsid w:val="00CD0D19"/>
    <w:rsid w:val="00CD0E5B"/>
    <w:rsid w:val="00CD0FE9"/>
    <w:rsid w:val="00CD396E"/>
    <w:rsid w:val="00CD5104"/>
    <w:rsid w:val="00CD6046"/>
    <w:rsid w:val="00CE06A5"/>
    <w:rsid w:val="00CE202E"/>
    <w:rsid w:val="00CE2229"/>
    <w:rsid w:val="00CE374E"/>
    <w:rsid w:val="00CE3E2A"/>
    <w:rsid w:val="00CF0534"/>
    <w:rsid w:val="00CF3FF0"/>
    <w:rsid w:val="00CF41AF"/>
    <w:rsid w:val="00CF4567"/>
    <w:rsid w:val="00CF53AB"/>
    <w:rsid w:val="00CF6815"/>
    <w:rsid w:val="00CF756C"/>
    <w:rsid w:val="00D04D3D"/>
    <w:rsid w:val="00D073EE"/>
    <w:rsid w:val="00D11B02"/>
    <w:rsid w:val="00D11E3C"/>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4A60"/>
    <w:rsid w:val="00D47738"/>
    <w:rsid w:val="00D51A9B"/>
    <w:rsid w:val="00D51D95"/>
    <w:rsid w:val="00D53EC6"/>
    <w:rsid w:val="00D55A00"/>
    <w:rsid w:val="00D56F77"/>
    <w:rsid w:val="00D61E9F"/>
    <w:rsid w:val="00D62CC8"/>
    <w:rsid w:val="00D6402F"/>
    <w:rsid w:val="00D678E4"/>
    <w:rsid w:val="00D7047A"/>
    <w:rsid w:val="00D719E9"/>
    <w:rsid w:val="00D72225"/>
    <w:rsid w:val="00D73550"/>
    <w:rsid w:val="00D7436F"/>
    <w:rsid w:val="00D838F7"/>
    <w:rsid w:val="00D8479E"/>
    <w:rsid w:val="00D868F1"/>
    <w:rsid w:val="00D87EFF"/>
    <w:rsid w:val="00D91AE6"/>
    <w:rsid w:val="00D941E0"/>
    <w:rsid w:val="00D95840"/>
    <w:rsid w:val="00DA45B7"/>
    <w:rsid w:val="00DA554C"/>
    <w:rsid w:val="00DA5F07"/>
    <w:rsid w:val="00DB42FB"/>
    <w:rsid w:val="00DB7AEE"/>
    <w:rsid w:val="00DC0373"/>
    <w:rsid w:val="00DC2AC1"/>
    <w:rsid w:val="00DC39C4"/>
    <w:rsid w:val="00DC3C87"/>
    <w:rsid w:val="00DC4019"/>
    <w:rsid w:val="00DC4568"/>
    <w:rsid w:val="00DC5A8B"/>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4CF5"/>
    <w:rsid w:val="00E16AC4"/>
    <w:rsid w:val="00E16D8B"/>
    <w:rsid w:val="00E17C58"/>
    <w:rsid w:val="00E2178D"/>
    <w:rsid w:val="00E23958"/>
    <w:rsid w:val="00E23AD4"/>
    <w:rsid w:val="00E23BEC"/>
    <w:rsid w:val="00E23EC3"/>
    <w:rsid w:val="00E24E4D"/>
    <w:rsid w:val="00E2618B"/>
    <w:rsid w:val="00E267F1"/>
    <w:rsid w:val="00E34E73"/>
    <w:rsid w:val="00E375C8"/>
    <w:rsid w:val="00E4302B"/>
    <w:rsid w:val="00E4749D"/>
    <w:rsid w:val="00E528AF"/>
    <w:rsid w:val="00E53131"/>
    <w:rsid w:val="00E5518E"/>
    <w:rsid w:val="00E56222"/>
    <w:rsid w:val="00E564BA"/>
    <w:rsid w:val="00E566D8"/>
    <w:rsid w:val="00E571E1"/>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03F"/>
    <w:rsid w:val="00EA6276"/>
    <w:rsid w:val="00EB048C"/>
    <w:rsid w:val="00EB1220"/>
    <w:rsid w:val="00EB2B7A"/>
    <w:rsid w:val="00EB2C67"/>
    <w:rsid w:val="00EB367C"/>
    <w:rsid w:val="00EB43BA"/>
    <w:rsid w:val="00EB4429"/>
    <w:rsid w:val="00EB46D0"/>
    <w:rsid w:val="00EB4700"/>
    <w:rsid w:val="00EB7146"/>
    <w:rsid w:val="00EB7F72"/>
    <w:rsid w:val="00EC4357"/>
    <w:rsid w:val="00EC45F7"/>
    <w:rsid w:val="00EC49A4"/>
    <w:rsid w:val="00EC4EF3"/>
    <w:rsid w:val="00ED0B7F"/>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008"/>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0E6A"/>
    <w:rsid w:val="00F52372"/>
    <w:rsid w:val="00F52572"/>
    <w:rsid w:val="00F53847"/>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A743B"/>
    <w:rsid w:val="00FB651A"/>
    <w:rsid w:val="00FC0CB3"/>
    <w:rsid w:val="00FC2999"/>
    <w:rsid w:val="00FC765F"/>
    <w:rsid w:val="00FC781D"/>
    <w:rsid w:val="00FD09E4"/>
    <w:rsid w:val="00FD1861"/>
    <w:rsid w:val="00FD3EE7"/>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StyleCaption12ptCentered">
    <w:name w:val="Style Caption + 12 pt Centered"/>
    <w:basedOn w:val="Caption"/>
    <w:rsid w:val="001245B8"/>
    <w:pPr>
      <w:keepNext/>
      <w:jc w:val="center"/>
    </w:pPr>
    <w:rPr>
      <w:rFonts w:ascii="Times New Roman" w:hAnsi="Times New Roman"/>
      <w:sz w:val="24"/>
    </w:rPr>
  </w:style>
  <w:style w:type="character" w:customStyle="1" w:styleId="EndnoteTextChar">
    <w:name w:val="Endnote Text Char"/>
    <w:basedOn w:val="DefaultParagraphFont"/>
    <w:link w:val="EndnoteText"/>
    <w:semiHidden/>
    <w:rsid w:val="00A57AE0"/>
    <w:rPr>
      <w:rFonts w:ascii="Arial" w:hAnsi="Arial"/>
    </w:rPr>
  </w:style>
  <w:style w:type="character" w:customStyle="1" w:styleId="Heading3Char">
    <w:name w:val="Heading 3 Char"/>
    <w:link w:val="Heading3"/>
    <w:rsid w:val="00901D8A"/>
    <w:rPr>
      <w:rFonts w:ascii="Arial" w:hAnsi="Arial" w:cs="Arial"/>
      <w:b/>
      <w:bCs/>
      <w:sz w:val="26"/>
      <w:szCs w:val="26"/>
    </w:rPr>
  </w:style>
  <w:style w:type="paragraph" w:styleId="ListParagraph">
    <w:name w:val="List Paragraph"/>
    <w:basedOn w:val="Normal"/>
    <w:uiPriority w:val="34"/>
    <w:qFormat/>
    <w:rsid w:val="00CD0D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StyleCaption12ptCentered">
    <w:name w:val="Style Caption + 12 pt Centered"/>
    <w:basedOn w:val="Caption"/>
    <w:rsid w:val="001245B8"/>
    <w:pPr>
      <w:keepNext/>
      <w:jc w:val="center"/>
    </w:pPr>
    <w:rPr>
      <w:rFonts w:ascii="Times New Roman" w:hAnsi="Times New Roman"/>
      <w:sz w:val="24"/>
    </w:rPr>
  </w:style>
  <w:style w:type="character" w:customStyle="1" w:styleId="EndnoteTextChar">
    <w:name w:val="Endnote Text Char"/>
    <w:basedOn w:val="DefaultParagraphFont"/>
    <w:link w:val="EndnoteText"/>
    <w:semiHidden/>
    <w:rsid w:val="00A57AE0"/>
    <w:rPr>
      <w:rFonts w:ascii="Arial" w:hAnsi="Arial"/>
    </w:rPr>
  </w:style>
  <w:style w:type="character" w:customStyle="1" w:styleId="Heading3Char">
    <w:name w:val="Heading 3 Char"/>
    <w:link w:val="Heading3"/>
    <w:rsid w:val="00901D8A"/>
    <w:rPr>
      <w:rFonts w:ascii="Arial" w:hAnsi="Arial" w:cs="Arial"/>
      <w:b/>
      <w:bCs/>
      <w:sz w:val="26"/>
      <w:szCs w:val="26"/>
    </w:rPr>
  </w:style>
  <w:style w:type="paragraph" w:styleId="ListParagraph">
    <w:name w:val="List Paragraph"/>
    <w:basedOn w:val="Normal"/>
    <w:uiPriority w:val="34"/>
    <w:qFormat/>
    <w:rsid w:val="00CD0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image" Target="media/image10.emf"/><Relationship Id="rId42"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image" Target="media/image5.emf"/><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32" Type="http://schemas.openxmlformats.org/officeDocument/2006/relationships/image" Target="media/image8.emf"/><Relationship Id="rId37" Type="http://schemas.openxmlformats.org/officeDocument/2006/relationships/image" Target="media/image13.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4.emf"/><Relationship Id="rId36" Type="http://schemas.openxmlformats.org/officeDocument/2006/relationships/image" Target="media/image12.emf"/><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s>
</file>

<file path=word/_rels/endnotes.xml.rels><?xml version="1.0" encoding="UTF-8" standalone="yes"?>
<Relationships xmlns="http://schemas.openxmlformats.org/package/2006/relationships"><Relationship Id="rId8" Type="http://schemas.openxmlformats.org/officeDocument/2006/relationships/hyperlink" Target="http://www.deeresources.com" TargetMode="External"/><Relationship Id="rId3" Type="http://schemas.openxmlformats.org/officeDocument/2006/relationships/hyperlink" Target="http://www.cdc.gov/nchs/data/hus/hus08.pdf" TargetMode="External"/><Relationship Id="rId7" Type="http://schemas.openxmlformats.org/officeDocument/2006/relationships/hyperlink" Target="http://www.cdcr.ca.gov/Divisions_Boards/CSA/FSO/Docs/2008_4th_Qtr_JPS_full_report.pdf" TargetMode="External"/><Relationship Id="rId2" Type="http://schemas.openxmlformats.org/officeDocument/2006/relationships/hyperlink" Target="http://tourism.visitcalifornia.com/media/uploads/files/editor/Research/CaliforniaTourism_200812.pdf" TargetMode="External"/><Relationship Id="rId1" Type="http://schemas.openxmlformats.org/officeDocument/2006/relationships/hyperlink" Target="http://www.deeresources.com" TargetMode="External"/><Relationship Id="rId6" Type="http://schemas.openxmlformats.org/officeDocument/2006/relationships/hyperlink" Target="http://www.cdcr.ca.gov/Divisions_Boards/CSA/FSO/Docs/2008_4th_Qtr_JPS_full_report.pdf" TargetMode="External"/><Relationship Id="rId5" Type="http://schemas.openxmlformats.org/officeDocument/2006/relationships/hyperlink" Target="http://www.cdcr.ca.gov/Divisions_Boards/Adult_Operations/docs/Fourth_Quarter_2008_Facts_and_Figures.pdf" TargetMode="External"/><Relationship Id="rId10" Type="http://schemas.openxmlformats.org/officeDocument/2006/relationships/oleObject" Target="embeddings/Microsoft_Word_97_-_2003_Document1.doc"/><Relationship Id="rId4" Type="http://schemas.openxmlformats.org/officeDocument/2006/relationships/hyperlink" Target="http://www.cdcr.ca.gov/Divisions_Boards/Adult_Operations/docs/Fourth_Quarter_2008_Facts_and_Figures.pdf" TargetMode="External"/><Relationship Id="rId9" Type="http://schemas.openxmlformats.org/officeDocument/2006/relationships/image" Target="media/image15.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98A6B-6591-4A39-B3B7-1FD30B294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D741B912-81AC-4492-AE83-9717A064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19</Pages>
  <Words>4958</Words>
  <Characters>28267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33159</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2</cp:revision>
  <cp:lastPrinted>2011-11-17T03:58:00Z</cp:lastPrinted>
  <dcterms:created xsi:type="dcterms:W3CDTF">2017-09-29T18:47:00Z</dcterms:created>
  <dcterms:modified xsi:type="dcterms:W3CDTF">2017-09-29T18:47:00Z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